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359B" w14:textId="77777777" w:rsidR="001C0E2E" w:rsidRPr="00701404" w:rsidRDefault="001C0E2E" w:rsidP="00DA6911">
      <w:pPr>
        <w:pStyle w:val="Nadpis3"/>
        <w:pageBreakBefore/>
        <w:spacing w:before="360"/>
        <w:jc w:val="center"/>
        <w:rPr>
          <w:sz w:val="40"/>
          <w:szCs w:val="40"/>
        </w:rPr>
      </w:pPr>
      <w:r w:rsidRPr="00701404">
        <w:rPr>
          <w:sz w:val="40"/>
          <w:szCs w:val="40"/>
        </w:rPr>
        <w:t>Smlouva</w:t>
      </w:r>
    </w:p>
    <w:p w14:paraId="2D5B415E" w14:textId="77777777" w:rsidR="001C0E2E" w:rsidRPr="00701404" w:rsidRDefault="00791850" w:rsidP="001C0E2E">
      <w:pPr>
        <w:spacing w:before="240"/>
        <w:jc w:val="center"/>
        <w:outlineLvl w:val="0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Č</w:t>
      </w:r>
      <w:r w:rsidR="008A24C1" w:rsidRPr="00701404">
        <w:rPr>
          <w:b/>
          <w:sz w:val="22"/>
          <w:szCs w:val="22"/>
        </w:rPr>
        <w:t>íslo</w:t>
      </w:r>
      <w:r>
        <w:rPr>
          <w:b/>
          <w:sz w:val="22"/>
          <w:szCs w:val="22"/>
        </w:rPr>
        <w:t xml:space="preserve"> </w:t>
      </w:r>
      <w:r w:rsidRPr="00791850">
        <w:rPr>
          <w:b/>
          <w:sz w:val="22"/>
          <w:szCs w:val="22"/>
        </w:rPr>
        <w:t>VSM00272</w:t>
      </w:r>
      <w:r w:rsidR="008A24C1" w:rsidRPr="00701404">
        <w:rPr>
          <w:b/>
          <w:sz w:val="22"/>
          <w:szCs w:val="22"/>
        </w:rPr>
        <w:t xml:space="preserve">  </w:t>
      </w:r>
    </w:p>
    <w:p w14:paraId="20E7869F" w14:textId="77777777" w:rsidR="001C0E2E" w:rsidRPr="00701404" w:rsidRDefault="00701404" w:rsidP="006321B1">
      <w:pPr>
        <w:spacing w:before="360"/>
        <w:jc w:val="both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O</w:t>
      </w:r>
      <w:r w:rsidR="00FD4DBF" w:rsidRPr="00701404">
        <w:rPr>
          <w:b/>
          <w:sz w:val="22"/>
          <w:szCs w:val="22"/>
        </w:rPr>
        <w:t xml:space="preserve"> předání odpadů do obecního systému města Havlíčkův Brod </w:t>
      </w:r>
      <w:r w:rsidR="001C0E2E" w:rsidRPr="00701404">
        <w:rPr>
          <w:b/>
          <w:sz w:val="22"/>
          <w:szCs w:val="22"/>
        </w:rPr>
        <w:t>uzavřená v souladu s</w:t>
      </w:r>
      <w:r w:rsidR="00977440">
        <w:rPr>
          <w:b/>
          <w:sz w:val="22"/>
          <w:szCs w:val="22"/>
        </w:rPr>
        <w:t> </w:t>
      </w:r>
      <w:r w:rsidR="001C0E2E" w:rsidRPr="00701404">
        <w:rPr>
          <w:b/>
          <w:sz w:val="22"/>
          <w:szCs w:val="22"/>
        </w:rPr>
        <w:t>ustanovením</w:t>
      </w:r>
      <w:r w:rsidR="00977440">
        <w:rPr>
          <w:b/>
          <w:sz w:val="22"/>
          <w:szCs w:val="22"/>
        </w:rPr>
        <w:t xml:space="preserve">i </w:t>
      </w:r>
      <w:r w:rsidR="001C0E2E" w:rsidRPr="00701404">
        <w:rPr>
          <w:b/>
          <w:sz w:val="22"/>
          <w:szCs w:val="22"/>
        </w:rPr>
        <w:t xml:space="preserve">§ </w:t>
      </w:r>
      <w:r w:rsidR="00FD4DBF" w:rsidRPr="00701404">
        <w:rPr>
          <w:b/>
          <w:sz w:val="22"/>
          <w:szCs w:val="22"/>
        </w:rPr>
        <w:t xml:space="preserve">62 odst. 2 zákona č. 541/2020 </w:t>
      </w:r>
      <w:r w:rsidR="001C0E2E" w:rsidRPr="00701404">
        <w:rPr>
          <w:b/>
          <w:sz w:val="22"/>
          <w:szCs w:val="22"/>
        </w:rPr>
        <w:t xml:space="preserve">Sb., o </w:t>
      </w:r>
      <w:proofErr w:type="gramStart"/>
      <w:r w:rsidR="001C0E2E" w:rsidRPr="00701404">
        <w:rPr>
          <w:b/>
          <w:sz w:val="22"/>
          <w:szCs w:val="22"/>
        </w:rPr>
        <w:t>odpadech  ve</w:t>
      </w:r>
      <w:proofErr w:type="gramEnd"/>
      <w:r w:rsidR="001C0E2E" w:rsidRPr="00701404">
        <w:rPr>
          <w:b/>
          <w:sz w:val="22"/>
          <w:szCs w:val="22"/>
        </w:rPr>
        <w:t xml:space="preserve"> znění pozdějších předpisů (dále jen zákona o odpadech)</w:t>
      </w:r>
    </w:p>
    <w:p w14:paraId="6D244292" w14:textId="77777777" w:rsidR="00EB2FA0" w:rsidRPr="00701404" w:rsidRDefault="00EB2FA0" w:rsidP="008A24C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b/>
          <w:bCs/>
          <w:sz w:val="22"/>
        </w:rPr>
      </w:pPr>
    </w:p>
    <w:p w14:paraId="231ADFD0" w14:textId="77777777" w:rsidR="008A24C1" w:rsidRPr="00701404" w:rsidRDefault="008A24C1" w:rsidP="008A24C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sz w:val="22"/>
        </w:rPr>
      </w:pPr>
      <w:r w:rsidRPr="00701404">
        <w:rPr>
          <w:b/>
          <w:bCs/>
          <w:sz w:val="22"/>
        </w:rPr>
        <w:t>Smluvní strany</w:t>
      </w:r>
    </w:p>
    <w:p w14:paraId="5909034E" w14:textId="77777777" w:rsidR="008A24C1" w:rsidRPr="00701404" w:rsidRDefault="008A24C1" w:rsidP="008A24C1"/>
    <w:p w14:paraId="49D0B1E2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  <w:szCs w:val="22"/>
        </w:rPr>
      </w:pPr>
      <w:r w:rsidRPr="00701404">
        <w:rPr>
          <w:b/>
          <w:bCs/>
          <w:sz w:val="22"/>
          <w:szCs w:val="22"/>
        </w:rPr>
        <w:t>Technické služby Havlíčkův Brod, příspěvková organizace</w:t>
      </w:r>
    </w:p>
    <w:p w14:paraId="6645102E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proofErr w:type="gramStart"/>
      <w:r w:rsidRPr="00701404">
        <w:rPr>
          <w:sz w:val="22"/>
          <w:szCs w:val="22"/>
        </w:rPr>
        <w:t>Sídlo :</w:t>
      </w:r>
      <w:proofErr w:type="gramEnd"/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965812" w:rsidRPr="00965812">
        <w:rPr>
          <w:sz w:val="22"/>
          <w:szCs w:val="22"/>
        </w:rPr>
        <w:t xml:space="preserve">Na </w:t>
      </w:r>
      <w:proofErr w:type="gramStart"/>
      <w:r w:rsidR="00965812" w:rsidRPr="00965812">
        <w:rPr>
          <w:sz w:val="22"/>
          <w:szCs w:val="22"/>
        </w:rPr>
        <w:t>Valech  3523</w:t>
      </w:r>
      <w:proofErr w:type="gramEnd"/>
      <w:r w:rsidR="00965812" w:rsidRPr="00965812">
        <w:rPr>
          <w:sz w:val="22"/>
          <w:szCs w:val="22"/>
        </w:rPr>
        <w:t>, 580 01 Havlíčkův Brod</w:t>
      </w:r>
      <w:r w:rsidR="00965812">
        <w:rPr>
          <w:sz w:val="22"/>
          <w:szCs w:val="22"/>
        </w:rPr>
        <w:t xml:space="preserve"> </w:t>
      </w:r>
    </w:p>
    <w:p w14:paraId="028A8FD4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IČ: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965812" w:rsidRPr="00965812">
        <w:rPr>
          <w:sz w:val="22"/>
          <w:szCs w:val="22"/>
        </w:rPr>
        <w:t>70188041</w:t>
      </w:r>
      <w:r w:rsidR="00965812">
        <w:rPr>
          <w:sz w:val="22"/>
          <w:szCs w:val="22"/>
        </w:rPr>
        <w:t xml:space="preserve"> </w:t>
      </w:r>
    </w:p>
    <w:p w14:paraId="18BC66B3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DIČ: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965812" w:rsidRPr="00965812">
        <w:rPr>
          <w:sz w:val="22"/>
          <w:szCs w:val="22"/>
        </w:rPr>
        <w:t>CZ70188041</w:t>
      </w:r>
      <w:r w:rsidR="00965812">
        <w:rPr>
          <w:sz w:val="22"/>
          <w:szCs w:val="22"/>
        </w:rPr>
        <w:t xml:space="preserve"> </w:t>
      </w:r>
    </w:p>
    <w:p w14:paraId="0EBC9ABA" w14:textId="45832C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Zastoupena: </w:t>
      </w:r>
      <w:r w:rsidRPr="00701404">
        <w:rPr>
          <w:sz w:val="22"/>
          <w:szCs w:val="22"/>
        </w:rPr>
        <w:tab/>
        <w:t xml:space="preserve">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965812" w:rsidRPr="00965812">
        <w:rPr>
          <w:sz w:val="22"/>
          <w:szCs w:val="22"/>
        </w:rPr>
        <w:t>Dita Blažková</w:t>
      </w:r>
      <w:r w:rsidR="00A12FD2">
        <w:rPr>
          <w:sz w:val="22"/>
          <w:szCs w:val="22"/>
        </w:rPr>
        <w:t>, na základě plné moci</w:t>
      </w:r>
    </w:p>
    <w:p w14:paraId="748896CD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proofErr w:type="gramStart"/>
      <w:r w:rsidRPr="00701404">
        <w:rPr>
          <w:sz w:val="22"/>
          <w:szCs w:val="22"/>
        </w:rPr>
        <w:t>Telefon :</w:t>
      </w:r>
      <w:proofErr w:type="gramEnd"/>
      <w:r w:rsidRPr="00701404">
        <w:rPr>
          <w:sz w:val="22"/>
          <w:szCs w:val="22"/>
        </w:rPr>
        <w:t xml:space="preserve">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677BDD">
        <w:rPr>
          <w:sz w:val="22"/>
          <w:szCs w:val="22"/>
        </w:rPr>
        <w:t xml:space="preserve"> </w:t>
      </w:r>
    </w:p>
    <w:p w14:paraId="370E3062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>Email: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677BDD" w:rsidRPr="00677BDD">
        <w:rPr>
          <w:sz w:val="22"/>
          <w:szCs w:val="22"/>
        </w:rPr>
        <w:t>dblazkova@tshb.cz</w:t>
      </w:r>
      <w:r w:rsidR="00677BDD">
        <w:rPr>
          <w:sz w:val="22"/>
          <w:szCs w:val="22"/>
        </w:rPr>
        <w:t xml:space="preserve"> </w:t>
      </w:r>
    </w:p>
    <w:p w14:paraId="3662E775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Bankovní </w:t>
      </w:r>
      <w:proofErr w:type="gramStart"/>
      <w:r w:rsidRPr="00701404">
        <w:rPr>
          <w:sz w:val="22"/>
          <w:szCs w:val="22"/>
        </w:rPr>
        <w:t xml:space="preserve">spojení:   </w:t>
      </w:r>
      <w:proofErr w:type="gramEnd"/>
      <w:r w:rsidRPr="00701404">
        <w:rPr>
          <w:sz w:val="22"/>
          <w:szCs w:val="22"/>
        </w:rPr>
        <w:t xml:space="preserve">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677BDD" w:rsidRPr="00677BDD">
        <w:rPr>
          <w:sz w:val="22"/>
          <w:szCs w:val="22"/>
        </w:rPr>
        <w:t>Komerční banka, a.s.</w:t>
      </w:r>
      <w:r w:rsidR="00677BDD">
        <w:rPr>
          <w:sz w:val="22"/>
          <w:szCs w:val="22"/>
        </w:rPr>
        <w:t xml:space="preserve"> </w:t>
      </w:r>
    </w:p>
    <w:p w14:paraId="0B5654C4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číslo účtu: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="00677BDD" w:rsidRPr="00677BDD">
        <w:rPr>
          <w:sz w:val="22"/>
          <w:szCs w:val="22"/>
        </w:rPr>
        <w:t>1426521/0100</w:t>
      </w:r>
      <w:r w:rsidR="00677BDD">
        <w:rPr>
          <w:sz w:val="22"/>
          <w:szCs w:val="22"/>
        </w:rPr>
        <w:t xml:space="preserve"> </w:t>
      </w:r>
    </w:p>
    <w:p w14:paraId="09FE8DD7" w14:textId="77777777" w:rsidR="00677BDD" w:rsidRDefault="00677BDD" w:rsidP="00DA6911">
      <w:pPr>
        <w:tabs>
          <w:tab w:val="left" w:pos="360"/>
          <w:tab w:val="left" w:pos="540"/>
          <w:tab w:val="left" w:pos="720"/>
          <w:tab w:val="left" w:pos="900"/>
        </w:tabs>
        <w:ind w:right="-711"/>
        <w:jc w:val="both"/>
        <w:rPr>
          <w:sz w:val="22"/>
          <w:szCs w:val="22"/>
        </w:rPr>
      </w:pPr>
      <w:r w:rsidRPr="00677BDD">
        <w:rPr>
          <w:sz w:val="22"/>
          <w:szCs w:val="22"/>
        </w:rPr>
        <w:t xml:space="preserve">v OR vedeném Krajským soudem v Hradci Králové v oddílu </w:t>
      </w:r>
      <w:proofErr w:type="spellStart"/>
      <w:r w:rsidRPr="00677BDD">
        <w:rPr>
          <w:sz w:val="22"/>
          <w:szCs w:val="22"/>
        </w:rPr>
        <w:t>Pr</w:t>
      </w:r>
      <w:proofErr w:type="spellEnd"/>
      <w:r w:rsidRPr="00677BDD">
        <w:rPr>
          <w:sz w:val="22"/>
          <w:szCs w:val="22"/>
        </w:rPr>
        <w:t xml:space="preserve">. vložce číslo 15 </w:t>
      </w:r>
      <w:r>
        <w:rPr>
          <w:sz w:val="22"/>
          <w:szCs w:val="22"/>
        </w:rPr>
        <w:t xml:space="preserve"> </w:t>
      </w:r>
    </w:p>
    <w:p w14:paraId="05943226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ind w:right="-711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(dále jen „dodavatel“)</w:t>
      </w:r>
    </w:p>
    <w:p w14:paraId="21548265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14:paraId="421B2513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>a</w:t>
      </w:r>
    </w:p>
    <w:p w14:paraId="266A0F37" w14:textId="77777777" w:rsidR="00677BDD" w:rsidRDefault="00677BDD" w:rsidP="00677BD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</w:rPr>
      </w:pPr>
    </w:p>
    <w:p w14:paraId="4DD66521" w14:textId="7DF47AEE" w:rsidR="00677BDD" w:rsidRPr="004A6E2C" w:rsidRDefault="00A12FD2" w:rsidP="00677BDD">
      <w:pPr>
        <w:tabs>
          <w:tab w:val="left" w:pos="360"/>
          <w:tab w:val="left" w:pos="540"/>
          <w:tab w:val="left" w:pos="720"/>
          <w:tab w:val="left" w:pos="900"/>
        </w:tabs>
        <w:jc w:val="both"/>
      </w:pPr>
      <w:r>
        <w:rPr>
          <w:b/>
          <w:bCs/>
          <w:sz w:val="22"/>
        </w:rPr>
        <w:t>………………</w:t>
      </w:r>
      <w:r w:rsidR="00677BDD" w:rsidRPr="00B656E5">
        <w:rPr>
          <w:b/>
          <w:bCs/>
          <w:sz w:val="22"/>
        </w:rPr>
        <w:t>.</w:t>
      </w:r>
    </w:p>
    <w:p w14:paraId="34F28D03" w14:textId="0D8A50BA" w:rsidR="00694BDB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bCs/>
          <w:sz w:val="22"/>
          <w:szCs w:val="22"/>
        </w:rPr>
      </w:pPr>
      <w:r w:rsidRPr="004A6E2C">
        <w:rPr>
          <w:bCs/>
          <w:sz w:val="22"/>
          <w:szCs w:val="22"/>
        </w:rPr>
        <w:t>Sídlo:</w:t>
      </w:r>
      <w:r w:rsidRPr="004A6E2C">
        <w:rPr>
          <w:bCs/>
          <w:sz w:val="22"/>
          <w:szCs w:val="22"/>
        </w:rPr>
        <w:tab/>
      </w:r>
      <w:r w:rsidRPr="004A6E2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81886C0" w14:textId="7CEC3A6D" w:rsidR="00677BDD" w:rsidRPr="004A6E2C" w:rsidRDefault="004D509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proofErr w:type="gramStart"/>
      <w:r>
        <w:rPr>
          <w:bCs/>
          <w:sz w:val="22"/>
          <w:szCs w:val="22"/>
        </w:rPr>
        <w:t>I</w:t>
      </w:r>
      <w:r w:rsidR="00677BDD" w:rsidRPr="004A6E2C">
        <w:rPr>
          <w:sz w:val="22"/>
          <w:szCs w:val="22"/>
        </w:rPr>
        <w:t>Č :</w:t>
      </w:r>
      <w:proofErr w:type="gramEnd"/>
      <w:r w:rsidR="00677BDD" w:rsidRPr="004A6E2C">
        <w:rPr>
          <w:sz w:val="22"/>
          <w:szCs w:val="22"/>
        </w:rPr>
        <w:tab/>
      </w:r>
      <w:r w:rsidR="00677BDD" w:rsidRPr="004A6E2C">
        <w:rPr>
          <w:sz w:val="22"/>
          <w:szCs w:val="22"/>
        </w:rPr>
        <w:tab/>
      </w:r>
      <w:r w:rsidR="00677BDD">
        <w:rPr>
          <w:sz w:val="22"/>
          <w:szCs w:val="22"/>
        </w:rPr>
        <w:tab/>
      </w:r>
      <w:r w:rsidR="00677BDD">
        <w:rPr>
          <w:sz w:val="22"/>
          <w:szCs w:val="22"/>
        </w:rPr>
        <w:tab/>
      </w:r>
      <w:r w:rsidR="00677BDD">
        <w:rPr>
          <w:sz w:val="22"/>
          <w:szCs w:val="22"/>
        </w:rPr>
        <w:tab/>
      </w:r>
      <w:r w:rsidR="00677BDD" w:rsidRPr="004A6E2C">
        <w:rPr>
          <w:sz w:val="22"/>
          <w:szCs w:val="22"/>
        </w:rPr>
        <w:tab/>
      </w:r>
      <w:r w:rsidR="00677BDD" w:rsidRPr="004A6E2C">
        <w:rPr>
          <w:sz w:val="22"/>
          <w:szCs w:val="22"/>
        </w:rPr>
        <w:tab/>
      </w:r>
      <w:r w:rsidR="00677BDD" w:rsidRPr="004A6E2C">
        <w:rPr>
          <w:sz w:val="22"/>
          <w:szCs w:val="22"/>
        </w:rPr>
        <w:tab/>
      </w:r>
      <w:r w:rsidR="00677BDD" w:rsidRPr="004A6E2C">
        <w:rPr>
          <w:sz w:val="22"/>
          <w:szCs w:val="22"/>
        </w:rPr>
        <w:tab/>
      </w:r>
    </w:p>
    <w:p w14:paraId="3FF66BB6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4A6E2C">
        <w:rPr>
          <w:sz w:val="22"/>
          <w:szCs w:val="22"/>
        </w:rPr>
        <w:t>DIČ:</w:t>
      </w:r>
      <w:r w:rsidRPr="004A6E2C">
        <w:rPr>
          <w:sz w:val="22"/>
          <w:szCs w:val="22"/>
        </w:rPr>
        <w:tab/>
      </w:r>
      <w:r w:rsidRPr="004A6E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4A6E2C">
        <w:rPr>
          <w:sz w:val="22"/>
          <w:szCs w:val="22"/>
        </w:rPr>
        <w:tab/>
      </w:r>
      <w:r w:rsidRPr="004A6E2C">
        <w:rPr>
          <w:sz w:val="22"/>
          <w:szCs w:val="22"/>
        </w:rPr>
        <w:tab/>
      </w:r>
      <w:r w:rsidRPr="004A6E2C">
        <w:rPr>
          <w:sz w:val="22"/>
          <w:szCs w:val="22"/>
        </w:rPr>
        <w:tab/>
      </w:r>
    </w:p>
    <w:p w14:paraId="6B8EF789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4A6E2C"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56E5">
        <w:t xml:space="preserve"> </w:t>
      </w:r>
      <w:r>
        <w:rPr>
          <w:sz w:val="22"/>
          <w:szCs w:val="22"/>
        </w:rPr>
        <w:t xml:space="preserve"> </w:t>
      </w:r>
      <w:r w:rsidRPr="004A6E2C">
        <w:rPr>
          <w:sz w:val="22"/>
          <w:szCs w:val="22"/>
        </w:rPr>
        <w:tab/>
      </w:r>
      <w:r w:rsidRPr="004A6E2C">
        <w:rPr>
          <w:sz w:val="22"/>
          <w:szCs w:val="22"/>
        </w:rPr>
        <w:tab/>
      </w:r>
    </w:p>
    <w:p w14:paraId="66BB3B7A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</w:rPr>
      </w:pPr>
      <w:r w:rsidRPr="004A6E2C">
        <w:rPr>
          <w:sz w:val="22"/>
        </w:rPr>
        <w:t>Telefon:</w:t>
      </w:r>
      <w:r w:rsidRPr="004A6E2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  <w:r w:rsidRPr="004A6E2C">
        <w:rPr>
          <w:sz w:val="22"/>
        </w:rPr>
        <w:tab/>
      </w:r>
    </w:p>
    <w:p w14:paraId="37E5A923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</w:rPr>
      </w:pPr>
      <w:r w:rsidRPr="004A6E2C">
        <w:rPr>
          <w:sz w:val="22"/>
        </w:rPr>
        <w:t>Email:</w:t>
      </w:r>
      <w:r w:rsidRPr="004A6E2C">
        <w:rPr>
          <w:sz w:val="22"/>
        </w:rPr>
        <w:tab/>
      </w:r>
      <w:r w:rsidRPr="004A6E2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  <w:r w:rsidRPr="004A6E2C">
        <w:rPr>
          <w:sz w:val="22"/>
        </w:rPr>
        <w:tab/>
      </w:r>
    </w:p>
    <w:p w14:paraId="00967A30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</w:rPr>
      </w:pPr>
      <w:r w:rsidRPr="004A6E2C">
        <w:rPr>
          <w:sz w:val="22"/>
        </w:rPr>
        <w:t>Bankovní spojení:</w:t>
      </w:r>
      <w:r w:rsidRPr="004A6E2C"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</w:p>
    <w:p w14:paraId="27DA2814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A6E2C">
        <w:rPr>
          <w:sz w:val="22"/>
        </w:rPr>
        <w:t>Číslo účtu:</w:t>
      </w:r>
      <w:r w:rsidRPr="004A6E2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  <w:r w:rsidRPr="004A6E2C">
        <w:rPr>
          <w:sz w:val="22"/>
        </w:rPr>
        <w:tab/>
      </w:r>
    </w:p>
    <w:p w14:paraId="77405A49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A6E2C">
        <w:rPr>
          <w:sz w:val="22"/>
        </w:rPr>
        <w:t>Kontaktní osoba: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  <w:r w:rsidRPr="004A6E2C">
        <w:rPr>
          <w:sz w:val="22"/>
        </w:rPr>
        <w:tab/>
      </w:r>
    </w:p>
    <w:p w14:paraId="7AD491BF" w14:textId="77777777" w:rsidR="00677BDD" w:rsidRPr="004A6E2C" w:rsidRDefault="00677BDD" w:rsidP="00677B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</w:rPr>
      </w:pPr>
      <w:r w:rsidRPr="004A6E2C">
        <w:rPr>
          <w:sz w:val="22"/>
        </w:rPr>
        <w:t>Zasílací adresa: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4A6E2C">
        <w:rPr>
          <w:sz w:val="22"/>
        </w:rPr>
        <w:tab/>
      </w:r>
      <w:r w:rsidRPr="004A6E2C">
        <w:rPr>
          <w:sz w:val="22"/>
        </w:rPr>
        <w:tab/>
      </w:r>
    </w:p>
    <w:p w14:paraId="47E85249" w14:textId="77777777" w:rsidR="00DA6911" w:rsidRPr="00701404" w:rsidRDefault="00DA6911" w:rsidP="00DA691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701404">
        <w:rPr>
          <w:sz w:val="22"/>
          <w:szCs w:val="22"/>
        </w:rPr>
        <w:t>(dále jen „objednatel“)</w:t>
      </w:r>
    </w:p>
    <w:p w14:paraId="36A984C6" w14:textId="77777777" w:rsidR="003A7FA2" w:rsidRPr="00701404" w:rsidRDefault="003A7FA2" w:rsidP="003A7FA2">
      <w:pPr>
        <w:spacing w:before="120"/>
        <w:jc w:val="center"/>
        <w:outlineLvl w:val="0"/>
        <w:rPr>
          <w:b/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t>Článek  I.</w:t>
      </w:r>
      <w:proofErr w:type="gramEnd"/>
    </w:p>
    <w:p w14:paraId="205779FF" w14:textId="77777777" w:rsidR="003A7FA2" w:rsidRPr="00701404" w:rsidRDefault="003A7FA2" w:rsidP="003A7FA2">
      <w:pPr>
        <w:spacing w:before="240"/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Předmět smlouvy</w:t>
      </w:r>
    </w:p>
    <w:p w14:paraId="56EFEBD9" w14:textId="77777777" w:rsidR="003A7FA2" w:rsidRPr="00701404" w:rsidRDefault="003A7FA2" w:rsidP="003A7FA2">
      <w:pPr>
        <w:numPr>
          <w:ilvl w:val="0"/>
          <w:numId w:val="1"/>
        </w:numPr>
        <w:spacing w:before="120"/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Na základě této smlouvy (dále jen smlouva) </w:t>
      </w:r>
      <w:proofErr w:type="gramStart"/>
      <w:r w:rsidRPr="00701404">
        <w:rPr>
          <w:sz w:val="22"/>
          <w:szCs w:val="22"/>
        </w:rPr>
        <w:t xml:space="preserve">objednatel </w:t>
      </w:r>
      <w:r w:rsidR="00FD4DBF" w:rsidRPr="00701404">
        <w:rPr>
          <w:sz w:val="22"/>
          <w:szCs w:val="22"/>
        </w:rPr>
        <w:t xml:space="preserve"> předává</w:t>
      </w:r>
      <w:proofErr w:type="gramEnd"/>
      <w:r w:rsidR="00685F8A" w:rsidRPr="00701404">
        <w:rPr>
          <w:sz w:val="22"/>
          <w:szCs w:val="22"/>
        </w:rPr>
        <w:t xml:space="preserve"> odpady</w:t>
      </w:r>
      <w:r w:rsidR="00FD4DBF" w:rsidRPr="00701404">
        <w:rPr>
          <w:sz w:val="22"/>
          <w:szCs w:val="22"/>
        </w:rPr>
        <w:t xml:space="preserve"> do obecního systému města Havlíčkův Brod</w:t>
      </w:r>
      <w:r w:rsidRPr="00701404">
        <w:rPr>
          <w:sz w:val="22"/>
          <w:szCs w:val="22"/>
        </w:rPr>
        <w:t xml:space="preserve"> (dále jen </w:t>
      </w:r>
      <w:proofErr w:type="gramStart"/>
      <w:r w:rsidRPr="00701404">
        <w:rPr>
          <w:sz w:val="22"/>
          <w:szCs w:val="22"/>
        </w:rPr>
        <w:t>měst</w:t>
      </w:r>
      <w:r w:rsidR="00FD4DBF" w:rsidRPr="00701404">
        <w:rPr>
          <w:sz w:val="22"/>
          <w:szCs w:val="22"/>
        </w:rPr>
        <w:t>a</w:t>
      </w:r>
      <w:r w:rsidRPr="00701404">
        <w:rPr>
          <w:sz w:val="22"/>
          <w:szCs w:val="22"/>
        </w:rPr>
        <w:t>)  (</w:t>
      </w:r>
      <w:proofErr w:type="gramEnd"/>
      <w:r w:rsidRPr="00701404">
        <w:rPr>
          <w:sz w:val="22"/>
          <w:szCs w:val="22"/>
        </w:rPr>
        <w:t>dále jen systém), konkrétně veřejné separační kontejnery. Systém je stanoven obecně závaznou vyhláškou města</w:t>
      </w:r>
      <w:r w:rsidR="00231D17">
        <w:rPr>
          <w:sz w:val="22"/>
          <w:szCs w:val="22"/>
        </w:rPr>
        <w:t xml:space="preserve"> Havlíčkův Brod</w:t>
      </w:r>
      <w:r w:rsidRPr="00701404">
        <w:rPr>
          <w:sz w:val="22"/>
          <w:szCs w:val="22"/>
        </w:rPr>
        <w:t xml:space="preserve"> č. </w:t>
      </w:r>
      <w:r w:rsidR="00231D17">
        <w:rPr>
          <w:sz w:val="22"/>
          <w:szCs w:val="22"/>
        </w:rPr>
        <w:t>5/202</w:t>
      </w:r>
      <w:r w:rsidR="002359AB">
        <w:rPr>
          <w:sz w:val="22"/>
          <w:szCs w:val="22"/>
        </w:rPr>
        <w:t>3</w:t>
      </w:r>
      <w:r w:rsidRPr="00701404">
        <w:rPr>
          <w:sz w:val="22"/>
          <w:szCs w:val="22"/>
        </w:rPr>
        <w:t xml:space="preserve"> (dále jen vyhláška) </w:t>
      </w:r>
    </w:p>
    <w:p w14:paraId="4D37D739" w14:textId="77777777" w:rsidR="003A7FA2" w:rsidRPr="00701404" w:rsidRDefault="003A7FA2" w:rsidP="003A7FA2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Smlouva se vztahuje na </w:t>
      </w:r>
      <w:r w:rsidR="00C576C6" w:rsidRPr="00701404">
        <w:rPr>
          <w:sz w:val="22"/>
          <w:szCs w:val="22"/>
        </w:rPr>
        <w:t xml:space="preserve">komunální </w:t>
      </w:r>
      <w:r w:rsidRPr="00701404">
        <w:rPr>
          <w:sz w:val="22"/>
          <w:szCs w:val="22"/>
        </w:rPr>
        <w:t xml:space="preserve">odpad </w:t>
      </w:r>
      <w:r w:rsidR="00C576C6" w:rsidRPr="00701404">
        <w:rPr>
          <w:sz w:val="22"/>
          <w:szCs w:val="22"/>
        </w:rPr>
        <w:t xml:space="preserve">a odpady z obalů z papíru, plastů, skla a kovů </w:t>
      </w:r>
      <w:r w:rsidRPr="00701404">
        <w:rPr>
          <w:sz w:val="22"/>
          <w:szCs w:val="22"/>
        </w:rPr>
        <w:t>zařaz</w:t>
      </w:r>
      <w:r w:rsidR="00C576C6" w:rsidRPr="00701404">
        <w:rPr>
          <w:sz w:val="22"/>
          <w:szCs w:val="22"/>
        </w:rPr>
        <w:t>ené podle Katalogu odpadů, jako</w:t>
      </w:r>
      <w:r w:rsidR="00685F8A" w:rsidRPr="00701404">
        <w:rPr>
          <w:sz w:val="22"/>
          <w:szCs w:val="22"/>
        </w:rPr>
        <w:t xml:space="preserve"> </w:t>
      </w:r>
      <w:r w:rsidR="00C576C6" w:rsidRPr="00701404">
        <w:rPr>
          <w:sz w:val="22"/>
          <w:szCs w:val="22"/>
        </w:rPr>
        <w:t xml:space="preserve">komunální </w:t>
      </w:r>
      <w:r w:rsidRPr="00701404">
        <w:rPr>
          <w:sz w:val="22"/>
          <w:szCs w:val="22"/>
        </w:rPr>
        <w:t xml:space="preserve">odpad </w:t>
      </w:r>
      <w:r w:rsidR="00805E95" w:rsidRPr="00701404">
        <w:rPr>
          <w:sz w:val="22"/>
          <w:szCs w:val="22"/>
        </w:rPr>
        <w:t>a odpady z obalů jako odpovídající druh komunálního odpadu.</w:t>
      </w:r>
    </w:p>
    <w:p w14:paraId="7248750E" w14:textId="77777777" w:rsidR="003A7FA2" w:rsidRPr="00701404" w:rsidRDefault="003A7FA2" w:rsidP="003A7FA2">
      <w:pPr>
        <w:ind w:left="714"/>
        <w:rPr>
          <w:sz w:val="22"/>
          <w:szCs w:val="22"/>
        </w:rPr>
      </w:pPr>
    </w:p>
    <w:p w14:paraId="60BF81A3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t>Článek  II.</w:t>
      </w:r>
      <w:proofErr w:type="gramEnd"/>
    </w:p>
    <w:p w14:paraId="2DDD2541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</w:p>
    <w:p w14:paraId="17EAFCB1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Cena za využití systému nakládání s komunálním odpadem</w:t>
      </w:r>
    </w:p>
    <w:p w14:paraId="2CECD01E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</w:p>
    <w:p w14:paraId="13F8E31F" w14:textId="77777777" w:rsidR="003A7FA2" w:rsidRPr="00701404" w:rsidRDefault="003A7FA2" w:rsidP="003A7FA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Objednatel se zavazuje za podmínek dále v této smlouvě uvedených platit dodavateli sjednanou cenu.</w:t>
      </w:r>
    </w:p>
    <w:p w14:paraId="4E2DD608" w14:textId="77777777" w:rsidR="003A7FA2" w:rsidRPr="00701404" w:rsidRDefault="00810CE1" w:rsidP="003A7FA2">
      <w:pPr>
        <w:numPr>
          <w:ilvl w:val="0"/>
          <w:numId w:val="2"/>
        </w:numPr>
        <w:ind w:right="-568"/>
        <w:jc w:val="both"/>
        <w:rPr>
          <w:sz w:val="22"/>
          <w:szCs w:val="22"/>
        </w:rPr>
      </w:pPr>
      <w:r w:rsidRPr="00810CE1">
        <w:rPr>
          <w:sz w:val="22"/>
          <w:szCs w:val="22"/>
        </w:rPr>
        <w:lastRenderedPageBreak/>
        <w:t>Cena se řídí ceníkem dodavatele, který je uvedený na webových stránkách dodavatele</w:t>
      </w:r>
      <w:r w:rsidRPr="00977440">
        <w:rPr>
          <w:b/>
          <w:sz w:val="22"/>
          <w:szCs w:val="22"/>
        </w:rPr>
        <w:t xml:space="preserve"> </w:t>
      </w:r>
      <w:hyperlink r:id="rId7" w:history="1">
        <w:r w:rsidR="00977440" w:rsidRPr="00977440">
          <w:rPr>
            <w:rStyle w:val="Hypertextovodkaz"/>
            <w:b/>
            <w:color w:val="auto"/>
            <w:sz w:val="22"/>
            <w:szCs w:val="22"/>
          </w:rPr>
          <w:t>www.tshb.cz</w:t>
        </w:r>
      </w:hyperlink>
      <w:r w:rsidR="00977440">
        <w:rPr>
          <w:sz w:val="22"/>
          <w:szCs w:val="22"/>
        </w:rPr>
        <w:t xml:space="preserve"> </w:t>
      </w:r>
      <w:r w:rsidRPr="00810CE1">
        <w:rPr>
          <w:sz w:val="22"/>
          <w:szCs w:val="22"/>
        </w:rPr>
        <w:t>. Použije se ceník podle povahy plnění dodavatele, a to zejména ceník doplňkových činností, ceník likvidace odpadů pro podnikatelské subjekty a ceník za likvidaci odpadů na sběrném dvoře TSHB – občané. Cena se řídí vždy ceníkem platným okamžikem poskytnutí dílčího plnění. Objednatel bere na vědomí, že dodavatel je oprávněn ceník kdykoliv změnit. Nový ceník je platný od data, které je v něm uvedeno.</w:t>
      </w:r>
      <w:r w:rsidR="003A7FA2" w:rsidRPr="00701404">
        <w:rPr>
          <w:sz w:val="22"/>
          <w:szCs w:val="22"/>
        </w:rPr>
        <w:t xml:space="preserve">  </w:t>
      </w:r>
    </w:p>
    <w:p w14:paraId="4F78CC78" w14:textId="77777777" w:rsidR="003A7FA2" w:rsidRPr="00701404" w:rsidRDefault="003A7FA2" w:rsidP="003A7FA2">
      <w:pPr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Cenu uvedenou v </w:t>
      </w:r>
      <w:proofErr w:type="spellStart"/>
      <w:r w:rsidRPr="00701404">
        <w:rPr>
          <w:sz w:val="22"/>
          <w:szCs w:val="22"/>
        </w:rPr>
        <w:t>čl.II</w:t>
      </w:r>
      <w:proofErr w:type="spellEnd"/>
      <w:r w:rsidRPr="00701404">
        <w:rPr>
          <w:sz w:val="22"/>
          <w:szCs w:val="22"/>
        </w:rPr>
        <w:t xml:space="preserve"> odst.2 je objednatel povinen zaplatit za celý kalendářní rok najednou,</w:t>
      </w:r>
      <w:r w:rsidRPr="00701404">
        <w:rPr>
          <w:sz w:val="22"/>
          <w:szCs w:val="22"/>
        </w:rPr>
        <w:br/>
        <w:t xml:space="preserve">faktura se vystavuje v průběhu 1. čtvrtletí se splatností 14 </w:t>
      </w:r>
      <w:proofErr w:type="gramStart"/>
      <w:r w:rsidRPr="00701404">
        <w:rPr>
          <w:sz w:val="22"/>
          <w:szCs w:val="22"/>
        </w:rPr>
        <w:t>dní .</w:t>
      </w:r>
      <w:proofErr w:type="gramEnd"/>
    </w:p>
    <w:p w14:paraId="6848F015" w14:textId="77777777" w:rsidR="003A7FA2" w:rsidRPr="00701404" w:rsidRDefault="003A7FA2" w:rsidP="003A7FA2">
      <w:pPr>
        <w:numPr>
          <w:ilvl w:val="0"/>
          <w:numId w:val="2"/>
        </w:numPr>
        <w:ind w:left="714" w:right="-143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V případě uzavření smlouvy v průběhu roku je objednatel povinen zaplatit za zbývající počet měsíců v daném roce</w:t>
      </w:r>
    </w:p>
    <w:p w14:paraId="512F4353" w14:textId="77777777" w:rsidR="003A7FA2" w:rsidRPr="00701404" w:rsidRDefault="003A7FA2" w:rsidP="003A7FA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Cena se považuje za zaplacenou jejím připsáním na účet dodavatele. Za nedodržení dne splatnosti může být účtován smluvní úrok z prodlení ve výši 0,05 % za každý započatý den prodlení.</w:t>
      </w:r>
    </w:p>
    <w:p w14:paraId="1D369DFF" w14:textId="77777777" w:rsidR="003A7FA2" w:rsidRPr="00701404" w:rsidRDefault="003A7FA2" w:rsidP="003A7FA2">
      <w:pPr>
        <w:spacing w:before="360"/>
        <w:jc w:val="center"/>
        <w:rPr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t>Článek  III</w:t>
      </w:r>
      <w:r w:rsidRPr="00701404">
        <w:rPr>
          <w:sz w:val="22"/>
          <w:szCs w:val="22"/>
        </w:rPr>
        <w:t>.</w:t>
      </w:r>
      <w:proofErr w:type="gramEnd"/>
    </w:p>
    <w:p w14:paraId="5358071E" w14:textId="77777777" w:rsidR="003A7FA2" w:rsidRPr="00701404" w:rsidRDefault="003A7FA2" w:rsidP="003A7FA2">
      <w:pPr>
        <w:spacing w:before="240"/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Ostatní práva a povinnosti</w:t>
      </w:r>
    </w:p>
    <w:p w14:paraId="7315EEAD" w14:textId="77777777" w:rsidR="003A7FA2" w:rsidRPr="00701404" w:rsidRDefault="003A7FA2" w:rsidP="003A7FA2">
      <w:pPr>
        <w:numPr>
          <w:ilvl w:val="0"/>
          <w:numId w:val="8"/>
        </w:numPr>
        <w:spacing w:before="120"/>
        <w:jc w:val="both"/>
        <w:rPr>
          <w:i/>
          <w:sz w:val="22"/>
          <w:szCs w:val="22"/>
        </w:rPr>
      </w:pPr>
      <w:r w:rsidRPr="00701404">
        <w:rPr>
          <w:sz w:val="22"/>
          <w:szCs w:val="22"/>
        </w:rPr>
        <w:t>Objednatel:</w:t>
      </w:r>
      <w:r w:rsidRPr="00701404">
        <w:rPr>
          <w:sz w:val="22"/>
          <w:szCs w:val="22"/>
        </w:rPr>
        <w:br/>
      </w:r>
      <w:r w:rsidRPr="00701404">
        <w:rPr>
          <w:sz w:val="22"/>
          <w:szCs w:val="22"/>
        </w:rPr>
        <w:br/>
      </w:r>
      <w:proofErr w:type="gramStart"/>
      <w:r w:rsidRPr="00701404">
        <w:rPr>
          <w:sz w:val="22"/>
          <w:szCs w:val="22"/>
        </w:rPr>
        <w:t>a)  je</w:t>
      </w:r>
      <w:proofErr w:type="gramEnd"/>
      <w:r w:rsidRPr="00701404">
        <w:rPr>
          <w:sz w:val="22"/>
          <w:szCs w:val="22"/>
        </w:rPr>
        <w:t xml:space="preserve"> oprávněn</w:t>
      </w:r>
    </w:p>
    <w:p w14:paraId="2B724874" w14:textId="77777777" w:rsidR="003A7FA2" w:rsidRPr="00701404" w:rsidRDefault="003A7FA2" w:rsidP="003A7FA2">
      <w:pPr>
        <w:spacing w:before="120"/>
        <w:ind w:left="720"/>
        <w:jc w:val="both"/>
        <w:rPr>
          <w:i/>
          <w:sz w:val="22"/>
          <w:szCs w:val="22"/>
        </w:rPr>
      </w:pPr>
      <w:r w:rsidRPr="00701404">
        <w:rPr>
          <w:sz w:val="22"/>
          <w:szCs w:val="22"/>
        </w:rPr>
        <w:t xml:space="preserve"> - využívat veřejné nádoby pro separovaný odpad (dále kontejnery), které jsou rozmístěny po městě na veřejně přístupných místech, konkrétně </w:t>
      </w:r>
      <w:r w:rsidRPr="00701404">
        <w:rPr>
          <w:b/>
          <w:sz w:val="22"/>
          <w:szCs w:val="22"/>
        </w:rPr>
        <w:t>nádoby na sklo barevné, sklo čiré, papír a plast včetně nápojového kartonu</w:t>
      </w:r>
      <w:r w:rsidR="008A5B74" w:rsidRPr="00701404">
        <w:rPr>
          <w:b/>
          <w:sz w:val="22"/>
          <w:szCs w:val="22"/>
        </w:rPr>
        <w:t xml:space="preserve">, </w:t>
      </w:r>
      <w:r w:rsidR="00805E95" w:rsidRPr="00701404">
        <w:rPr>
          <w:b/>
          <w:sz w:val="22"/>
          <w:szCs w:val="22"/>
        </w:rPr>
        <w:t>kovy</w:t>
      </w:r>
    </w:p>
    <w:p w14:paraId="5A52494E" w14:textId="77777777" w:rsidR="003A7FA2" w:rsidRPr="00701404" w:rsidRDefault="003A7FA2" w:rsidP="003A7FA2">
      <w:pPr>
        <w:spacing w:before="120"/>
        <w:ind w:left="720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b) je povinen zejména</w:t>
      </w:r>
    </w:p>
    <w:p w14:paraId="21D313E6" w14:textId="77777777" w:rsidR="003A7FA2" w:rsidRPr="00701404" w:rsidRDefault="003A7FA2" w:rsidP="003A7FA2">
      <w:pPr>
        <w:spacing w:before="120"/>
        <w:ind w:left="720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- nepřeplňovat kontejnery, které jsou již naplněny a neodkládat jakýkoliv odpad na zem vedle</w:t>
      </w:r>
      <w:r w:rsidRPr="00701404">
        <w:rPr>
          <w:sz w:val="22"/>
          <w:szCs w:val="22"/>
        </w:rPr>
        <w:br/>
        <w:t xml:space="preserve">  nich (v případě přeplnění kontejnerů je třeba volat bezplatnou linku TSHB: 800 183 549)</w:t>
      </w:r>
    </w:p>
    <w:p w14:paraId="39AF1ADF" w14:textId="77777777" w:rsidR="003A7FA2" w:rsidRPr="00701404" w:rsidRDefault="003A7FA2" w:rsidP="003A7FA2">
      <w:pPr>
        <w:spacing w:before="120"/>
        <w:ind w:left="720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- nepoškozovat kontejnery</w:t>
      </w:r>
    </w:p>
    <w:p w14:paraId="0DA6BF52" w14:textId="77777777" w:rsidR="00701404" w:rsidRPr="00701404" w:rsidRDefault="003A7FA2" w:rsidP="00701404">
      <w:pPr>
        <w:spacing w:before="120"/>
        <w:ind w:left="720"/>
        <w:rPr>
          <w:sz w:val="22"/>
          <w:szCs w:val="22"/>
        </w:rPr>
      </w:pPr>
      <w:r w:rsidRPr="00701404">
        <w:rPr>
          <w:sz w:val="22"/>
          <w:szCs w:val="22"/>
        </w:rPr>
        <w:t xml:space="preserve">- odpad ukládat do kontejnerů upravený na minimální objem (např. PET lahve </w:t>
      </w:r>
      <w:r w:rsidR="00805E95" w:rsidRPr="00701404">
        <w:rPr>
          <w:sz w:val="22"/>
          <w:szCs w:val="22"/>
        </w:rPr>
        <w:t xml:space="preserve">a kovové </w:t>
      </w:r>
    </w:p>
    <w:p w14:paraId="51066C41" w14:textId="77777777" w:rsidR="003A7FA2" w:rsidRPr="00701404" w:rsidRDefault="00701404" w:rsidP="00701404">
      <w:pPr>
        <w:spacing w:before="120"/>
        <w:ind w:left="720"/>
        <w:rPr>
          <w:sz w:val="22"/>
          <w:szCs w:val="22"/>
        </w:rPr>
      </w:pPr>
      <w:r w:rsidRPr="00701404">
        <w:rPr>
          <w:sz w:val="22"/>
          <w:szCs w:val="22"/>
        </w:rPr>
        <w:tab/>
      </w:r>
      <w:r w:rsidR="00805E95" w:rsidRPr="00701404">
        <w:rPr>
          <w:sz w:val="22"/>
          <w:szCs w:val="22"/>
        </w:rPr>
        <w:t xml:space="preserve">plechovky </w:t>
      </w:r>
      <w:r w:rsidR="003A7FA2" w:rsidRPr="00701404">
        <w:rPr>
          <w:sz w:val="22"/>
          <w:szCs w:val="22"/>
        </w:rPr>
        <w:t>sešlápnuté,</w:t>
      </w:r>
      <w:r w:rsidR="003A7FA2" w:rsidRPr="00701404">
        <w:rPr>
          <w:sz w:val="22"/>
          <w:szCs w:val="22"/>
        </w:rPr>
        <w:br/>
        <w:t xml:space="preserve">  kartónové krabice</w:t>
      </w:r>
      <w:r w:rsidR="008A5B74" w:rsidRPr="00701404">
        <w:rPr>
          <w:sz w:val="22"/>
          <w:szCs w:val="22"/>
        </w:rPr>
        <w:t>, nápojový karton</w:t>
      </w:r>
      <w:r w:rsidR="003A7FA2" w:rsidRPr="00701404">
        <w:rPr>
          <w:sz w:val="22"/>
          <w:szCs w:val="22"/>
        </w:rPr>
        <w:t xml:space="preserve"> rozložené)</w:t>
      </w:r>
    </w:p>
    <w:p w14:paraId="7E73CDAE" w14:textId="77777777" w:rsidR="003A7FA2" w:rsidRPr="00701404" w:rsidRDefault="003A7FA2" w:rsidP="003A7FA2">
      <w:pPr>
        <w:spacing w:before="120"/>
        <w:ind w:left="708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-uklidit zbytky odpadů, které při plnění kontejnerů vypadnou na zem</w:t>
      </w:r>
    </w:p>
    <w:p w14:paraId="3BA684C5" w14:textId="77777777" w:rsidR="003A7FA2" w:rsidRPr="00701404" w:rsidRDefault="003A7FA2" w:rsidP="003A7FA2">
      <w:pPr>
        <w:spacing w:before="120"/>
        <w:ind w:left="708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- neodkládat do kontejnerů jiný odpad, než pro který jsou určeny vyhláškou i svým</w:t>
      </w:r>
      <w:r w:rsidRPr="00701404">
        <w:rPr>
          <w:i/>
          <w:sz w:val="22"/>
          <w:szCs w:val="22"/>
        </w:rPr>
        <w:t xml:space="preserve"> </w:t>
      </w:r>
      <w:r w:rsidRPr="00701404">
        <w:rPr>
          <w:sz w:val="22"/>
          <w:szCs w:val="22"/>
        </w:rPr>
        <w:t>označením</w:t>
      </w:r>
    </w:p>
    <w:p w14:paraId="7E405D71" w14:textId="77777777" w:rsidR="003A7FA2" w:rsidRPr="00701404" w:rsidRDefault="003A7FA2" w:rsidP="003A7FA2">
      <w:pPr>
        <w:spacing w:before="120"/>
        <w:ind w:left="360"/>
        <w:jc w:val="center"/>
        <w:rPr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t>Článek  IV</w:t>
      </w:r>
      <w:r w:rsidRPr="00701404">
        <w:rPr>
          <w:sz w:val="22"/>
          <w:szCs w:val="22"/>
        </w:rPr>
        <w:t>.</w:t>
      </w:r>
      <w:proofErr w:type="gramEnd"/>
    </w:p>
    <w:p w14:paraId="064DBD21" w14:textId="77777777" w:rsidR="003A7FA2" w:rsidRPr="00701404" w:rsidRDefault="003A7FA2" w:rsidP="003A7FA2">
      <w:pPr>
        <w:spacing w:before="240"/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Odstoupení od smlouvy</w:t>
      </w:r>
    </w:p>
    <w:p w14:paraId="6F5D3EE0" w14:textId="77777777" w:rsidR="003A7FA2" w:rsidRPr="00701404" w:rsidRDefault="003A7FA2" w:rsidP="003A7FA2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Poruší-li objednatel některou ze svých povinností podle čl. III odst. 1 písm. b), je dodavatel oprávněn </w:t>
      </w:r>
      <w:r w:rsidR="0074477C">
        <w:rPr>
          <w:sz w:val="22"/>
          <w:szCs w:val="22"/>
        </w:rPr>
        <w:t>tuto smlouvu vypovědět s okamžitou účinností</w:t>
      </w:r>
      <w:r w:rsidRPr="00701404">
        <w:rPr>
          <w:sz w:val="22"/>
          <w:szCs w:val="22"/>
        </w:rPr>
        <w:t>.</w:t>
      </w:r>
    </w:p>
    <w:p w14:paraId="674217CD" w14:textId="77777777" w:rsidR="003A7FA2" w:rsidRPr="00701404" w:rsidRDefault="003A7FA2" w:rsidP="003A7FA2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Nezaplatí-li objednatel cenu dle čl. II této smlouvy řádně a včas, je dodavatel oprávněn </w:t>
      </w:r>
      <w:r w:rsidR="0074477C">
        <w:rPr>
          <w:sz w:val="22"/>
          <w:szCs w:val="22"/>
        </w:rPr>
        <w:t>tuto smlouvu vypovědět s okamžitou účinností</w:t>
      </w:r>
      <w:r w:rsidRPr="00701404">
        <w:rPr>
          <w:sz w:val="22"/>
          <w:szCs w:val="22"/>
        </w:rPr>
        <w:t>.</w:t>
      </w:r>
    </w:p>
    <w:p w14:paraId="6D97FA32" w14:textId="77777777" w:rsidR="003A7FA2" w:rsidRPr="00701404" w:rsidRDefault="003A7FA2" w:rsidP="003A7FA2">
      <w:pPr>
        <w:numPr>
          <w:ilvl w:val="0"/>
          <w:numId w:val="4"/>
        </w:numPr>
        <w:ind w:left="714" w:right="-285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Nároky na náhradu škody a zaplacení smluvního úroku zůstávají </w:t>
      </w:r>
      <w:r w:rsidR="0074477C">
        <w:rPr>
          <w:sz w:val="22"/>
          <w:szCs w:val="22"/>
        </w:rPr>
        <w:t>výpovědí smlouvy</w:t>
      </w:r>
      <w:r w:rsidRPr="00701404">
        <w:rPr>
          <w:sz w:val="22"/>
          <w:szCs w:val="22"/>
        </w:rPr>
        <w:t xml:space="preserve"> nedotčeny.</w:t>
      </w:r>
    </w:p>
    <w:p w14:paraId="7A66517D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</w:p>
    <w:p w14:paraId="42511608" w14:textId="77777777" w:rsidR="003A7FA2" w:rsidRPr="00701404" w:rsidRDefault="003A7FA2" w:rsidP="003A7FA2">
      <w:pPr>
        <w:jc w:val="center"/>
        <w:rPr>
          <w:b/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t>Článek  V.</w:t>
      </w:r>
      <w:proofErr w:type="gramEnd"/>
    </w:p>
    <w:p w14:paraId="3BC700DB" w14:textId="77777777" w:rsidR="003A7FA2" w:rsidRPr="00701404" w:rsidRDefault="003A7FA2" w:rsidP="003A7FA2">
      <w:pPr>
        <w:spacing w:before="240"/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Smluvní pokuta</w:t>
      </w:r>
    </w:p>
    <w:p w14:paraId="5C78A421" w14:textId="77777777" w:rsidR="003A7FA2" w:rsidRPr="00701404" w:rsidRDefault="003A7FA2" w:rsidP="003A7FA2">
      <w:pPr>
        <w:numPr>
          <w:ilvl w:val="0"/>
          <w:numId w:val="6"/>
        </w:numPr>
        <w:ind w:right="-285"/>
        <w:rPr>
          <w:sz w:val="22"/>
          <w:szCs w:val="22"/>
        </w:rPr>
      </w:pPr>
      <w:r w:rsidRPr="00701404">
        <w:rPr>
          <w:sz w:val="22"/>
          <w:szCs w:val="22"/>
        </w:rPr>
        <w:t>Pro případ opakovaného porušení povinností v čl. II odst. 5 a při prokazatelném porušení čl. III odst.1 b) sjednávají účastníci smluvní pokutu ve výši 3 000,- Kč.</w:t>
      </w:r>
      <w:r w:rsidR="0074477C">
        <w:rPr>
          <w:sz w:val="22"/>
          <w:szCs w:val="22"/>
        </w:rPr>
        <w:t xml:space="preserve"> Opakovaným porušením povinnosti se rozumí druhé porušení povinnosti během 12 měsíců.</w:t>
      </w:r>
      <w:r w:rsidRPr="00701404">
        <w:rPr>
          <w:sz w:val="22"/>
          <w:szCs w:val="22"/>
        </w:rPr>
        <w:t xml:space="preserve"> Tuto smluvní pokutu je objednatel povinen zaplatit dodavateli do 15 dnů od doručení písemného upozornění na zjištěné nedostatky a výzvy k zaplacení, nebude-li bezodkladně zjednána náprava.</w:t>
      </w:r>
    </w:p>
    <w:p w14:paraId="1B3D6646" w14:textId="77777777" w:rsidR="00677BDD" w:rsidRDefault="00677BDD" w:rsidP="003A7FA2">
      <w:pPr>
        <w:spacing w:before="360"/>
        <w:jc w:val="center"/>
        <w:rPr>
          <w:b/>
          <w:sz w:val="22"/>
          <w:szCs w:val="22"/>
        </w:rPr>
      </w:pPr>
    </w:p>
    <w:p w14:paraId="1D894E91" w14:textId="77777777" w:rsidR="003A7FA2" w:rsidRPr="00701404" w:rsidRDefault="003A7FA2" w:rsidP="003A7FA2">
      <w:pPr>
        <w:spacing w:before="360"/>
        <w:jc w:val="center"/>
        <w:rPr>
          <w:b/>
          <w:sz w:val="22"/>
          <w:szCs w:val="22"/>
        </w:rPr>
      </w:pPr>
      <w:proofErr w:type="gramStart"/>
      <w:r w:rsidRPr="00701404">
        <w:rPr>
          <w:b/>
          <w:sz w:val="22"/>
          <w:szCs w:val="22"/>
        </w:rPr>
        <w:lastRenderedPageBreak/>
        <w:t>Článek  VI</w:t>
      </w:r>
      <w:proofErr w:type="gramEnd"/>
      <w:r w:rsidRPr="00701404">
        <w:rPr>
          <w:b/>
          <w:sz w:val="22"/>
          <w:szCs w:val="22"/>
        </w:rPr>
        <w:t>.</w:t>
      </w:r>
    </w:p>
    <w:p w14:paraId="3797E0ED" w14:textId="77777777" w:rsidR="003A7FA2" w:rsidRPr="00701404" w:rsidRDefault="003A7FA2" w:rsidP="003A7FA2">
      <w:pPr>
        <w:spacing w:before="240"/>
        <w:jc w:val="center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Závěrečná ustanovení</w:t>
      </w:r>
    </w:p>
    <w:p w14:paraId="589CAC2D" w14:textId="77777777" w:rsidR="003A7FA2" w:rsidRPr="00701404" w:rsidRDefault="003A7FA2" w:rsidP="003A7FA2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Tato smlouva nabývá platnosti jejím podpisem a obě smluvní strany se dohodly, že ustanovení této smlouvy jsou platná od 1. dne následujícího </w:t>
      </w:r>
      <w:proofErr w:type="gramStart"/>
      <w:r w:rsidRPr="00701404">
        <w:rPr>
          <w:sz w:val="22"/>
          <w:szCs w:val="22"/>
        </w:rPr>
        <w:t>měsíce .</w:t>
      </w:r>
      <w:proofErr w:type="gramEnd"/>
      <w:r w:rsidRPr="00701404">
        <w:rPr>
          <w:sz w:val="22"/>
          <w:szCs w:val="22"/>
        </w:rPr>
        <w:t xml:space="preserve"> </w:t>
      </w:r>
    </w:p>
    <w:p w14:paraId="0D863083" w14:textId="77777777" w:rsidR="003A7FA2" w:rsidRPr="00701404" w:rsidRDefault="003A7FA2" w:rsidP="003A7FA2">
      <w:pPr>
        <w:numPr>
          <w:ilvl w:val="0"/>
          <w:numId w:val="5"/>
        </w:numPr>
        <w:ind w:left="714" w:right="-285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 xml:space="preserve">Tato smlouva je uzavřena na dobu </w:t>
      </w:r>
      <w:proofErr w:type="gramStart"/>
      <w:r w:rsidRPr="00701404">
        <w:rPr>
          <w:sz w:val="22"/>
          <w:szCs w:val="22"/>
        </w:rPr>
        <w:t>neurčitou  s</w:t>
      </w:r>
      <w:proofErr w:type="gramEnd"/>
      <w:r w:rsidRPr="00701404">
        <w:rPr>
          <w:sz w:val="22"/>
          <w:szCs w:val="22"/>
        </w:rPr>
        <w:t xml:space="preserve"> možností výpovědi k 31.12.daného roku s doručením výpovědí minimálně 5 pracovních dnů před datem 31.12. </w:t>
      </w:r>
    </w:p>
    <w:p w14:paraId="6FFFD639" w14:textId="77777777" w:rsidR="003A7FA2" w:rsidRPr="00701404" w:rsidRDefault="003A7FA2" w:rsidP="003A7FA2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Změny a doplnění této smlouvy mohou být provedeny pouze písemnými dodatky.</w:t>
      </w:r>
      <w:r w:rsidR="002515AB">
        <w:rPr>
          <w:sz w:val="22"/>
          <w:szCs w:val="22"/>
        </w:rPr>
        <w:t xml:space="preserve"> To neplatí o změně ceny změnou ceníku.</w:t>
      </w:r>
    </w:p>
    <w:p w14:paraId="44CA313B" w14:textId="77777777" w:rsidR="003A7FA2" w:rsidRPr="00701404" w:rsidRDefault="003A7FA2" w:rsidP="003A7FA2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701404">
        <w:rPr>
          <w:sz w:val="22"/>
          <w:szCs w:val="22"/>
        </w:rPr>
        <w:t>Tato smlouva je sepsána ve dvou vyhotoveních s platností originálu. Každá smluvní strana obdrží po jednom vyhotovení.</w:t>
      </w:r>
    </w:p>
    <w:p w14:paraId="1BCF8D43" w14:textId="77777777" w:rsidR="003A7FA2" w:rsidRPr="00701404" w:rsidRDefault="003A7FA2" w:rsidP="003A7FA2">
      <w:pPr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proofErr w:type="gramStart"/>
      <w:r w:rsidRPr="00701404">
        <w:rPr>
          <w:snapToGrid w:val="0"/>
          <w:sz w:val="22"/>
          <w:szCs w:val="22"/>
        </w:rPr>
        <w:t>Smluvní  strany</w:t>
      </w:r>
      <w:proofErr w:type="gramEnd"/>
      <w:r w:rsidRPr="00701404">
        <w:rPr>
          <w:snapToGrid w:val="0"/>
          <w:sz w:val="22"/>
          <w:szCs w:val="22"/>
        </w:rPr>
        <w:t xml:space="preserve">  </w:t>
      </w:r>
      <w:proofErr w:type="gramStart"/>
      <w:r w:rsidRPr="00701404">
        <w:rPr>
          <w:snapToGrid w:val="0"/>
          <w:sz w:val="22"/>
          <w:szCs w:val="22"/>
        </w:rPr>
        <w:t>si  podpisem</w:t>
      </w:r>
      <w:proofErr w:type="gramEnd"/>
      <w:r w:rsidRPr="00701404">
        <w:rPr>
          <w:snapToGrid w:val="0"/>
          <w:sz w:val="22"/>
          <w:szCs w:val="22"/>
        </w:rPr>
        <w:t xml:space="preserve">  této smlouvy potvrzují, že nabytím platnosti této </w:t>
      </w:r>
    </w:p>
    <w:p w14:paraId="046AFB3E" w14:textId="77777777" w:rsidR="003A7FA2" w:rsidRPr="00701404" w:rsidRDefault="003A7FA2" w:rsidP="003A7FA2">
      <w:pPr>
        <w:ind w:left="708"/>
        <w:jc w:val="both"/>
        <w:rPr>
          <w:snapToGrid w:val="0"/>
          <w:sz w:val="22"/>
          <w:szCs w:val="22"/>
        </w:rPr>
      </w:pPr>
      <w:r w:rsidRPr="00701404">
        <w:rPr>
          <w:snapToGrid w:val="0"/>
          <w:sz w:val="22"/>
          <w:szCs w:val="22"/>
        </w:rPr>
        <w:t xml:space="preserve">smlouvy se zároveň </w:t>
      </w:r>
      <w:proofErr w:type="gramStart"/>
      <w:r w:rsidRPr="00701404">
        <w:rPr>
          <w:snapToGrid w:val="0"/>
          <w:sz w:val="22"/>
          <w:szCs w:val="22"/>
        </w:rPr>
        <w:t>ruší  všechny</w:t>
      </w:r>
      <w:proofErr w:type="gramEnd"/>
      <w:r w:rsidRPr="00701404">
        <w:rPr>
          <w:snapToGrid w:val="0"/>
          <w:sz w:val="22"/>
          <w:szCs w:val="22"/>
        </w:rPr>
        <w:t xml:space="preserve"> smlouvy dříve uzavřené </w:t>
      </w:r>
      <w:proofErr w:type="gramStart"/>
      <w:r w:rsidRPr="00701404">
        <w:rPr>
          <w:snapToGrid w:val="0"/>
          <w:sz w:val="22"/>
          <w:szCs w:val="22"/>
        </w:rPr>
        <w:t>mezi  smluvními</w:t>
      </w:r>
      <w:proofErr w:type="gramEnd"/>
      <w:r w:rsidRPr="00701404">
        <w:rPr>
          <w:snapToGrid w:val="0"/>
          <w:sz w:val="22"/>
          <w:szCs w:val="22"/>
        </w:rPr>
        <w:t xml:space="preserve">  stranami týkajících se separačního systému města a jsou plně touto smlouvou nahrazeny.</w:t>
      </w:r>
    </w:p>
    <w:p w14:paraId="173519F8" w14:textId="77777777" w:rsidR="006721AB" w:rsidRPr="00701404" w:rsidRDefault="006721AB" w:rsidP="003A7FA2">
      <w:pPr>
        <w:ind w:left="708"/>
        <w:jc w:val="both"/>
        <w:rPr>
          <w:snapToGrid w:val="0"/>
          <w:sz w:val="22"/>
          <w:szCs w:val="22"/>
        </w:rPr>
      </w:pPr>
    </w:p>
    <w:p w14:paraId="6B320B85" w14:textId="77777777" w:rsidR="006721AB" w:rsidRPr="00701404" w:rsidRDefault="006721AB" w:rsidP="003A7FA2">
      <w:pPr>
        <w:ind w:left="708"/>
        <w:jc w:val="both"/>
        <w:rPr>
          <w:snapToGrid w:val="0"/>
          <w:sz w:val="22"/>
          <w:szCs w:val="22"/>
        </w:rPr>
      </w:pPr>
    </w:p>
    <w:p w14:paraId="79F0D1A4" w14:textId="77777777" w:rsidR="006721AB" w:rsidRPr="00701404" w:rsidRDefault="006721AB" w:rsidP="006721A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</w:rPr>
      </w:pPr>
      <w:r w:rsidRPr="00701404">
        <w:rPr>
          <w:b/>
        </w:rPr>
        <w:t xml:space="preserve">Strany této smlouvy berou na vědomí, že Technické služby Havlíčkův Brod jako správce osobních údajů jsou oprávněny zpracovávat zde uvedené osobní údaje v souladu s článkem 6 odst. 1 </w:t>
      </w:r>
      <w:proofErr w:type="spellStart"/>
      <w:r w:rsidRPr="00701404">
        <w:rPr>
          <w:b/>
        </w:rPr>
        <w:t>písm.b</w:t>
      </w:r>
      <w:proofErr w:type="spellEnd"/>
      <w:r w:rsidRPr="00701404">
        <w:rPr>
          <w:b/>
        </w:rPr>
        <w:t xml:space="preserve">) Obecného nařízení (toto zpracování je nezbytné pro splnění smlouvy), a písm. c) Obecného nařízení (toto zpracování je nezbytné pro splnění právní povinnosti správce zveřejnit smlouvu na profilu zadavatele dle zákona </w:t>
      </w:r>
      <w:r w:rsidR="00AD5519" w:rsidRPr="00701404">
        <w:rPr>
          <w:b/>
        </w:rPr>
        <w:t xml:space="preserve">     </w:t>
      </w:r>
      <w:r w:rsidRPr="00701404">
        <w:rPr>
          <w:b/>
        </w:rPr>
        <w:t xml:space="preserve">č. 137/2006 Sb., o veřejných zakázkách, v registru smluv dle zákona č. 340/2015 </w:t>
      </w:r>
      <w:proofErr w:type="spellStart"/>
      <w:r w:rsidRPr="00701404">
        <w:rPr>
          <w:b/>
        </w:rPr>
        <w:t>Sb.,o</w:t>
      </w:r>
      <w:proofErr w:type="spellEnd"/>
      <w:r w:rsidRPr="00701404">
        <w:rPr>
          <w:b/>
        </w:rPr>
        <w:t xml:space="preserve"> registru smluv a pro postup dle zákona č. 106/1999 Sb., o svobodném přístupu k informacím.</w:t>
      </w:r>
    </w:p>
    <w:p w14:paraId="26A7892D" w14:textId="77777777" w:rsidR="00763392" w:rsidRPr="00701404" w:rsidRDefault="00763392" w:rsidP="003A7FA2">
      <w:pPr>
        <w:spacing w:before="960"/>
        <w:rPr>
          <w:sz w:val="22"/>
          <w:szCs w:val="22"/>
        </w:rPr>
      </w:pPr>
    </w:p>
    <w:p w14:paraId="04463BEC" w14:textId="54DBC163" w:rsidR="003A7FA2" w:rsidRPr="00701404" w:rsidRDefault="003A7FA2" w:rsidP="003A7FA2">
      <w:pPr>
        <w:spacing w:before="960"/>
        <w:rPr>
          <w:sz w:val="22"/>
          <w:szCs w:val="22"/>
        </w:rPr>
      </w:pPr>
      <w:r w:rsidRPr="00701404">
        <w:rPr>
          <w:sz w:val="22"/>
          <w:szCs w:val="22"/>
        </w:rPr>
        <w:t xml:space="preserve">V Havlíčkově Brodě </w:t>
      </w:r>
      <w:proofErr w:type="gramStart"/>
      <w:r w:rsidRPr="00701404">
        <w:rPr>
          <w:sz w:val="22"/>
          <w:szCs w:val="22"/>
        </w:rPr>
        <w:t>dne  :</w:t>
      </w:r>
      <w:proofErr w:type="gramEnd"/>
      <w:r w:rsidR="00724B1F">
        <w:rPr>
          <w:sz w:val="22"/>
          <w:szCs w:val="22"/>
        </w:rPr>
        <w:t xml:space="preserve"> </w:t>
      </w:r>
      <w:r w:rsidR="00A12FD2">
        <w:rPr>
          <w:sz w:val="22"/>
          <w:szCs w:val="22"/>
        </w:rPr>
        <w:t>…….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V             </w:t>
      </w:r>
      <w:proofErr w:type="gramStart"/>
      <w:r w:rsidRPr="00701404">
        <w:rPr>
          <w:sz w:val="22"/>
          <w:szCs w:val="22"/>
        </w:rPr>
        <w:t>dne :</w:t>
      </w:r>
      <w:proofErr w:type="gramEnd"/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</w:t>
      </w:r>
    </w:p>
    <w:p w14:paraId="15758588" w14:textId="77777777" w:rsidR="00BE0FEB" w:rsidRPr="00701404" w:rsidRDefault="00BE0FEB" w:rsidP="00BE0FEB">
      <w:pPr>
        <w:spacing w:before="960"/>
        <w:rPr>
          <w:sz w:val="22"/>
          <w:szCs w:val="22"/>
        </w:rPr>
      </w:pPr>
      <w:r w:rsidRPr="00701404">
        <w:rPr>
          <w:sz w:val="22"/>
          <w:szCs w:val="22"/>
        </w:rPr>
        <w:t>……………………………………..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>…………………………………..</w:t>
      </w:r>
    </w:p>
    <w:p w14:paraId="5890801B" w14:textId="77777777" w:rsidR="00BE0FEB" w:rsidRPr="00701404" w:rsidRDefault="00BE0FEB" w:rsidP="00BE0FEB">
      <w:pPr>
        <w:rPr>
          <w:b/>
        </w:rPr>
      </w:pPr>
      <w:r w:rsidRPr="00701404">
        <w:rPr>
          <w:b/>
        </w:rPr>
        <w:t>za „dodavatele“ na základě plné moci</w:t>
      </w:r>
      <w:r w:rsidRPr="00701404">
        <w:rPr>
          <w:b/>
          <w:sz w:val="22"/>
          <w:szCs w:val="22"/>
        </w:rPr>
        <w:tab/>
      </w:r>
      <w:r w:rsidRPr="00701404">
        <w:rPr>
          <w:b/>
          <w:sz w:val="22"/>
          <w:szCs w:val="22"/>
        </w:rPr>
        <w:tab/>
      </w:r>
      <w:r w:rsidRPr="00701404">
        <w:rPr>
          <w:b/>
          <w:sz w:val="22"/>
          <w:szCs w:val="22"/>
        </w:rPr>
        <w:tab/>
        <w:t xml:space="preserve">                    </w:t>
      </w:r>
      <w:r w:rsidRPr="00701404">
        <w:rPr>
          <w:b/>
        </w:rPr>
        <w:t>objednatel</w:t>
      </w:r>
    </w:p>
    <w:p w14:paraId="3A8F7383" w14:textId="77777777" w:rsidR="00BE0FEB" w:rsidRPr="00701404" w:rsidRDefault="004D19B4" w:rsidP="00BE0FEB">
      <w:pPr>
        <w:ind w:left="714"/>
        <w:rPr>
          <w:b/>
          <w:sz w:val="22"/>
          <w:szCs w:val="22"/>
        </w:rPr>
      </w:pPr>
      <w:r w:rsidRPr="004D19B4">
        <w:rPr>
          <w:b/>
          <w:sz w:val="22"/>
          <w:szCs w:val="22"/>
        </w:rPr>
        <w:t>Dita Blažková</w:t>
      </w:r>
    </w:p>
    <w:p w14:paraId="2C4F2B0E" w14:textId="77777777" w:rsidR="00A64505" w:rsidRPr="00701404" w:rsidRDefault="00A64505" w:rsidP="001C0E2E">
      <w:pPr>
        <w:rPr>
          <w:b/>
          <w:sz w:val="22"/>
          <w:szCs w:val="22"/>
        </w:rPr>
      </w:pPr>
    </w:p>
    <w:p w14:paraId="74336FFB" w14:textId="77777777" w:rsidR="00A64505" w:rsidRPr="00701404" w:rsidRDefault="00A64505" w:rsidP="00A64505">
      <w:pPr>
        <w:jc w:val="center"/>
        <w:rPr>
          <w:b/>
          <w:bCs/>
          <w:sz w:val="32"/>
          <w:szCs w:val="32"/>
        </w:rPr>
      </w:pPr>
    </w:p>
    <w:p w14:paraId="745BDD5A" w14:textId="77777777" w:rsidR="00A64505" w:rsidRPr="00701404" w:rsidRDefault="00A64505" w:rsidP="00763392">
      <w:pPr>
        <w:pageBreakBefore/>
        <w:jc w:val="center"/>
        <w:rPr>
          <w:b/>
          <w:bCs/>
          <w:sz w:val="32"/>
          <w:szCs w:val="32"/>
        </w:rPr>
      </w:pPr>
      <w:r w:rsidRPr="00701404">
        <w:rPr>
          <w:b/>
          <w:bCs/>
          <w:sz w:val="32"/>
          <w:szCs w:val="32"/>
        </w:rPr>
        <w:lastRenderedPageBreak/>
        <w:t>PŘÍLOHA č</w:t>
      </w:r>
      <w:r w:rsidR="00701404" w:rsidRPr="00701404">
        <w:rPr>
          <w:b/>
          <w:bCs/>
          <w:sz w:val="32"/>
          <w:szCs w:val="32"/>
        </w:rPr>
        <w:t>.</w:t>
      </w:r>
      <w:r w:rsidR="00791850">
        <w:rPr>
          <w:b/>
          <w:bCs/>
          <w:sz w:val="32"/>
          <w:szCs w:val="32"/>
        </w:rPr>
        <w:t xml:space="preserve"> 1</w:t>
      </w:r>
      <w:r w:rsidR="00701404" w:rsidRPr="00701404">
        <w:rPr>
          <w:b/>
          <w:bCs/>
          <w:sz w:val="32"/>
          <w:szCs w:val="32"/>
        </w:rPr>
        <w:t xml:space="preserve">  </w:t>
      </w:r>
      <w:r w:rsidRPr="00701404">
        <w:rPr>
          <w:b/>
          <w:bCs/>
          <w:sz w:val="32"/>
          <w:szCs w:val="32"/>
        </w:rPr>
        <w:t xml:space="preserve"> ke smlouvě č</w:t>
      </w:r>
      <w:r w:rsidR="00DA6911" w:rsidRPr="00701404">
        <w:rPr>
          <w:b/>
          <w:bCs/>
          <w:sz w:val="32"/>
          <w:szCs w:val="32"/>
        </w:rPr>
        <w:t>.</w:t>
      </w:r>
      <w:r w:rsidR="00791850">
        <w:rPr>
          <w:b/>
          <w:bCs/>
          <w:sz w:val="32"/>
          <w:szCs w:val="32"/>
        </w:rPr>
        <w:t xml:space="preserve"> </w:t>
      </w:r>
      <w:r w:rsidR="00791850" w:rsidRPr="00791850">
        <w:rPr>
          <w:b/>
          <w:bCs/>
          <w:sz w:val="32"/>
          <w:szCs w:val="32"/>
        </w:rPr>
        <w:t>VSM00272</w:t>
      </w:r>
      <w:r w:rsidR="00DA6911" w:rsidRPr="00701404">
        <w:rPr>
          <w:b/>
          <w:bCs/>
          <w:sz w:val="32"/>
          <w:szCs w:val="32"/>
        </w:rPr>
        <w:t xml:space="preserve"> </w:t>
      </w:r>
    </w:p>
    <w:p w14:paraId="0347B890" w14:textId="77777777" w:rsidR="00A64505" w:rsidRPr="00701404" w:rsidRDefault="00701404" w:rsidP="009A0513">
      <w:pPr>
        <w:spacing w:before="360"/>
        <w:jc w:val="both"/>
        <w:rPr>
          <w:b/>
          <w:sz w:val="22"/>
          <w:szCs w:val="22"/>
        </w:rPr>
      </w:pPr>
      <w:r w:rsidRPr="00701404">
        <w:rPr>
          <w:b/>
          <w:sz w:val="22"/>
          <w:szCs w:val="22"/>
        </w:rPr>
        <w:t>O</w:t>
      </w:r>
      <w:r w:rsidR="008A5B74" w:rsidRPr="00701404">
        <w:rPr>
          <w:b/>
          <w:sz w:val="22"/>
          <w:szCs w:val="22"/>
        </w:rPr>
        <w:t xml:space="preserve"> předání odpadů do obecního systému města Havlíčkův Brod</w:t>
      </w:r>
      <w:r w:rsidR="00A64505" w:rsidRPr="00701404">
        <w:rPr>
          <w:b/>
          <w:sz w:val="22"/>
          <w:szCs w:val="22"/>
        </w:rPr>
        <w:t xml:space="preserve"> uzavřená v souladu s ustanovením</w:t>
      </w:r>
      <w:r w:rsidR="00A64505" w:rsidRPr="00701404">
        <w:rPr>
          <w:b/>
          <w:strike/>
          <w:sz w:val="22"/>
          <w:szCs w:val="22"/>
        </w:rPr>
        <w:t>i</w:t>
      </w:r>
      <w:r w:rsidR="00A64505" w:rsidRPr="00701404">
        <w:rPr>
          <w:b/>
          <w:sz w:val="22"/>
          <w:szCs w:val="22"/>
        </w:rPr>
        <w:t xml:space="preserve"> </w:t>
      </w:r>
      <w:proofErr w:type="gramStart"/>
      <w:r w:rsidR="00A64505" w:rsidRPr="00701404">
        <w:rPr>
          <w:b/>
          <w:sz w:val="22"/>
          <w:szCs w:val="22"/>
        </w:rPr>
        <w:t xml:space="preserve">§  </w:t>
      </w:r>
      <w:r w:rsidR="008A5B74" w:rsidRPr="00701404">
        <w:rPr>
          <w:b/>
          <w:sz w:val="22"/>
          <w:szCs w:val="22"/>
        </w:rPr>
        <w:t>62</w:t>
      </w:r>
      <w:proofErr w:type="gramEnd"/>
      <w:r w:rsidR="008A5B74" w:rsidRPr="00701404">
        <w:rPr>
          <w:b/>
          <w:sz w:val="22"/>
          <w:szCs w:val="22"/>
        </w:rPr>
        <w:t xml:space="preserve"> odst. 2 zákona č. 541/2020 </w:t>
      </w:r>
      <w:r w:rsidR="00A64505" w:rsidRPr="00701404">
        <w:rPr>
          <w:b/>
          <w:sz w:val="22"/>
          <w:szCs w:val="22"/>
        </w:rPr>
        <w:t xml:space="preserve">Sb., o odpadech </w:t>
      </w:r>
      <w:r w:rsidRPr="00701404">
        <w:rPr>
          <w:b/>
          <w:strike/>
          <w:sz w:val="22"/>
          <w:szCs w:val="22"/>
        </w:rPr>
        <w:t>a</w:t>
      </w:r>
      <w:r w:rsidR="00A64505" w:rsidRPr="00701404">
        <w:rPr>
          <w:b/>
          <w:sz w:val="22"/>
          <w:szCs w:val="22"/>
        </w:rPr>
        <w:t xml:space="preserve"> ve znění pozdějších předpisů (dále jen zákona o odpadech)</w:t>
      </w:r>
    </w:p>
    <w:p w14:paraId="71803152" w14:textId="77777777" w:rsidR="00A64505" w:rsidRPr="00701404" w:rsidRDefault="00A64505" w:rsidP="00A64505">
      <w:pPr>
        <w:rPr>
          <w:b/>
          <w:bCs/>
          <w:sz w:val="22"/>
          <w:szCs w:val="22"/>
        </w:rPr>
      </w:pPr>
    </w:p>
    <w:tbl>
      <w:tblPr>
        <w:tblStyle w:val="Mkatabulky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7"/>
        <w:gridCol w:w="4620"/>
        <w:gridCol w:w="847"/>
        <w:gridCol w:w="848"/>
        <w:gridCol w:w="1028"/>
        <w:gridCol w:w="1556"/>
      </w:tblGrid>
      <w:tr w:rsidR="00677BDD" w:rsidRPr="004A6E2C" w14:paraId="67A17553" w14:textId="77777777" w:rsidTr="00677BDD">
        <w:tc>
          <w:tcPr>
            <w:tcW w:w="1307" w:type="dxa"/>
          </w:tcPr>
          <w:p w14:paraId="5DF0FBCB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Kód služby</w:t>
            </w:r>
          </w:p>
        </w:tc>
        <w:tc>
          <w:tcPr>
            <w:tcW w:w="4620" w:type="dxa"/>
          </w:tcPr>
          <w:p w14:paraId="00F885F9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Popis služby</w:t>
            </w:r>
          </w:p>
        </w:tc>
        <w:tc>
          <w:tcPr>
            <w:tcW w:w="847" w:type="dxa"/>
          </w:tcPr>
          <w:p w14:paraId="59385229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Množství</w:t>
            </w:r>
          </w:p>
        </w:tc>
        <w:tc>
          <w:tcPr>
            <w:tcW w:w="848" w:type="dxa"/>
          </w:tcPr>
          <w:p w14:paraId="60B4CB48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Jedn.cena</w:t>
            </w:r>
            <w:proofErr w:type="spellEnd"/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2E76D0A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 DPH</w:t>
            </w:r>
          </w:p>
        </w:tc>
        <w:tc>
          <w:tcPr>
            <w:tcW w:w="1028" w:type="dxa"/>
          </w:tcPr>
          <w:p w14:paraId="534ED0FA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Celkem  </w:t>
            </w:r>
          </w:p>
          <w:p w14:paraId="11B3F771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bez DPH </w:t>
            </w:r>
          </w:p>
        </w:tc>
        <w:tc>
          <w:tcPr>
            <w:tcW w:w="1556" w:type="dxa"/>
          </w:tcPr>
          <w:p w14:paraId="40285DC0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Místo svozu</w:t>
            </w:r>
          </w:p>
        </w:tc>
      </w:tr>
      <w:tr w:rsidR="00677BDD" w:rsidRPr="004A6E2C" w14:paraId="6AA3999C" w14:textId="77777777" w:rsidTr="00677BDD">
        <w:tc>
          <w:tcPr>
            <w:tcW w:w="1307" w:type="dxa"/>
          </w:tcPr>
          <w:p w14:paraId="381EE48B" w14:textId="77777777" w:rsidR="00677BDD" w:rsidRPr="004A6E2C" w:rsidRDefault="00677BDD" w:rsidP="002B5135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656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VSZM22</w:t>
            </w:r>
          </w:p>
        </w:tc>
        <w:tc>
          <w:tcPr>
            <w:tcW w:w="4620" w:type="dxa"/>
          </w:tcPr>
          <w:p w14:paraId="143277D9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656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Využití systému města na tříděné složky </w:t>
            </w:r>
          </w:p>
        </w:tc>
        <w:tc>
          <w:tcPr>
            <w:tcW w:w="847" w:type="dxa"/>
          </w:tcPr>
          <w:p w14:paraId="6F2C8104" w14:textId="404331FE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8" w:type="dxa"/>
          </w:tcPr>
          <w:p w14:paraId="195E77B5" w14:textId="5223BE2A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</w:tcPr>
          <w:p w14:paraId="58231AF7" w14:textId="2DE55612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5CE691E" w14:textId="2757E672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77BDD" w:rsidRPr="004A6E2C" w14:paraId="31B48232" w14:textId="77777777" w:rsidTr="00677BDD">
        <w:tc>
          <w:tcPr>
            <w:tcW w:w="1307" w:type="dxa"/>
          </w:tcPr>
          <w:p w14:paraId="2148DD3A" w14:textId="77777777" w:rsidR="00677BDD" w:rsidRPr="004A6E2C" w:rsidRDefault="00677BDD" w:rsidP="002B5135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620" w:type="dxa"/>
          </w:tcPr>
          <w:p w14:paraId="035BAE99" w14:textId="77777777" w:rsidR="00677BDD" w:rsidRPr="004A6E2C" w:rsidRDefault="00677BDD" w:rsidP="002B5135">
            <w:pPr>
              <w:pStyle w:val="Odstavec"/>
              <w:shd w:val="clear" w:color="auto" w:fil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6E2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Celkem za měsíc bez DPH</w:t>
            </w:r>
          </w:p>
        </w:tc>
        <w:tc>
          <w:tcPr>
            <w:tcW w:w="847" w:type="dxa"/>
          </w:tcPr>
          <w:p w14:paraId="6F45E3B8" w14:textId="77777777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8" w:type="dxa"/>
          </w:tcPr>
          <w:p w14:paraId="673DF643" w14:textId="77777777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</w:tcPr>
          <w:p w14:paraId="4F1D623F" w14:textId="6CE1A3DA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54EF908" w14:textId="77777777" w:rsidR="00677BDD" w:rsidRPr="004A6E2C" w:rsidRDefault="00677BDD" w:rsidP="002B5135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74F38D48" w14:textId="77777777" w:rsidR="00B16BB2" w:rsidRDefault="00B16BB2" w:rsidP="00A64505">
      <w:pPr>
        <w:rPr>
          <w:b/>
          <w:bCs/>
          <w:sz w:val="22"/>
          <w:szCs w:val="22"/>
        </w:rPr>
      </w:pPr>
    </w:p>
    <w:p w14:paraId="3E7FEA2F" w14:textId="77777777" w:rsidR="001363F0" w:rsidRPr="00701404" w:rsidRDefault="00810CE1" w:rsidP="00A64505">
      <w:pPr>
        <w:rPr>
          <w:b/>
          <w:bCs/>
          <w:sz w:val="22"/>
          <w:szCs w:val="22"/>
        </w:rPr>
      </w:pPr>
      <w:r w:rsidRPr="00810CE1">
        <w:rPr>
          <w:b/>
          <w:bCs/>
          <w:sz w:val="22"/>
          <w:szCs w:val="22"/>
        </w:rPr>
        <w:t xml:space="preserve">Ceny uvedené ve shora uvedené tabulce jsou platné v okamžiku uzavření této smlouvy. Změnou ceníku dodavatele dle čl. </w:t>
      </w:r>
      <w:r>
        <w:rPr>
          <w:b/>
          <w:bCs/>
          <w:sz w:val="22"/>
          <w:szCs w:val="22"/>
        </w:rPr>
        <w:t>II.2</w:t>
      </w:r>
      <w:r w:rsidRPr="00810CE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této smlouvy</w:t>
      </w:r>
      <w:r w:rsidRPr="00810CE1">
        <w:rPr>
          <w:b/>
          <w:bCs/>
          <w:sz w:val="22"/>
          <w:szCs w:val="22"/>
        </w:rPr>
        <w:t xml:space="preserve"> dojde k automatické změně těchto cen.</w:t>
      </w:r>
    </w:p>
    <w:p w14:paraId="4C47DD9F" w14:textId="77777777" w:rsidR="00A64505" w:rsidRPr="00701404" w:rsidRDefault="00A64505" w:rsidP="00A64505">
      <w:pPr>
        <w:rPr>
          <w:b/>
          <w:bCs/>
          <w:sz w:val="22"/>
          <w:szCs w:val="22"/>
        </w:rPr>
      </w:pPr>
    </w:p>
    <w:p w14:paraId="7C0E00B6" w14:textId="77777777" w:rsidR="00763392" w:rsidRPr="00701404" w:rsidRDefault="00763392" w:rsidP="00A64505">
      <w:pPr>
        <w:rPr>
          <w:b/>
          <w:bCs/>
          <w:sz w:val="22"/>
          <w:szCs w:val="22"/>
        </w:rPr>
      </w:pPr>
    </w:p>
    <w:p w14:paraId="403E5229" w14:textId="77777777" w:rsidR="00A64505" w:rsidRPr="00701404" w:rsidRDefault="00A64505" w:rsidP="00A64505">
      <w:pPr>
        <w:spacing w:before="960"/>
        <w:rPr>
          <w:sz w:val="22"/>
          <w:szCs w:val="22"/>
        </w:rPr>
      </w:pPr>
      <w:r w:rsidRPr="00701404">
        <w:rPr>
          <w:sz w:val="22"/>
          <w:szCs w:val="22"/>
        </w:rPr>
        <w:t xml:space="preserve">V Havlíčkově Brodě </w:t>
      </w:r>
      <w:proofErr w:type="gramStart"/>
      <w:r w:rsidRPr="00701404">
        <w:rPr>
          <w:sz w:val="22"/>
          <w:szCs w:val="22"/>
        </w:rPr>
        <w:t>dne  :</w:t>
      </w:r>
      <w:proofErr w:type="gramEnd"/>
      <w:r w:rsidR="00724B1F">
        <w:rPr>
          <w:sz w:val="22"/>
          <w:szCs w:val="22"/>
        </w:rPr>
        <w:t xml:space="preserve"> 1.9.2025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V          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 xml:space="preserve">   </w:t>
      </w:r>
      <w:proofErr w:type="gramStart"/>
      <w:r w:rsidRPr="00701404">
        <w:rPr>
          <w:sz w:val="22"/>
          <w:szCs w:val="22"/>
        </w:rPr>
        <w:t>dne :</w:t>
      </w:r>
      <w:proofErr w:type="gramEnd"/>
      <w:r w:rsidRPr="00701404">
        <w:rPr>
          <w:sz w:val="22"/>
          <w:szCs w:val="22"/>
        </w:rPr>
        <w:tab/>
      </w:r>
    </w:p>
    <w:p w14:paraId="31E2B51B" w14:textId="77777777" w:rsidR="00D67A13" w:rsidRPr="00701404" w:rsidRDefault="00D67A13" w:rsidP="00D67A13">
      <w:pPr>
        <w:spacing w:before="960"/>
        <w:rPr>
          <w:sz w:val="22"/>
          <w:szCs w:val="22"/>
        </w:rPr>
      </w:pPr>
      <w:r w:rsidRPr="00701404">
        <w:rPr>
          <w:sz w:val="22"/>
          <w:szCs w:val="22"/>
        </w:rPr>
        <w:t>……………………………………..</w:t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</w:r>
      <w:r w:rsidRPr="00701404">
        <w:rPr>
          <w:sz w:val="22"/>
          <w:szCs w:val="22"/>
        </w:rPr>
        <w:tab/>
        <w:t>…………………………………..</w:t>
      </w:r>
    </w:p>
    <w:p w14:paraId="614A87DA" w14:textId="77777777" w:rsidR="00D67A13" w:rsidRPr="00701404" w:rsidRDefault="00D67A13" w:rsidP="00D67A13">
      <w:pPr>
        <w:rPr>
          <w:b/>
        </w:rPr>
      </w:pPr>
      <w:r w:rsidRPr="00701404">
        <w:rPr>
          <w:b/>
        </w:rPr>
        <w:t>za „dodavatele“ na základě plné moci</w:t>
      </w:r>
      <w:r w:rsidRPr="00701404">
        <w:rPr>
          <w:b/>
          <w:sz w:val="22"/>
          <w:szCs w:val="22"/>
        </w:rPr>
        <w:tab/>
      </w:r>
      <w:r w:rsidRPr="00701404">
        <w:rPr>
          <w:b/>
          <w:sz w:val="22"/>
          <w:szCs w:val="22"/>
        </w:rPr>
        <w:tab/>
      </w:r>
      <w:r w:rsidRPr="00701404">
        <w:rPr>
          <w:b/>
          <w:sz w:val="22"/>
          <w:szCs w:val="22"/>
        </w:rPr>
        <w:tab/>
        <w:t xml:space="preserve">                    </w:t>
      </w:r>
      <w:r w:rsidRPr="00701404">
        <w:rPr>
          <w:b/>
        </w:rPr>
        <w:t>objednatel</w:t>
      </w:r>
    </w:p>
    <w:p w14:paraId="034A9522" w14:textId="77777777" w:rsidR="00D67A13" w:rsidRPr="00701404" w:rsidRDefault="004D19B4" w:rsidP="00D67A13">
      <w:pPr>
        <w:ind w:left="714"/>
        <w:rPr>
          <w:b/>
          <w:sz w:val="22"/>
          <w:szCs w:val="22"/>
        </w:rPr>
      </w:pPr>
      <w:r w:rsidRPr="004D19B4">
        <w:rPr>
          <w:b/>
          <w:sz w:val="22"/>
          <w:szCs w:val="22"/>
        </w:rPr>
        <w:t>Dita Blažková</w:t>
      </w:r>
    </w:p>
    <w:p w14:paraId="5F47F225" w14:textId="77777777" w:rsidR="00A64505" w:rsidRPr="00701404" w:rsidRDefault="00A64505" w:rsidP="00D67A13">
      <w:pPr>
        <w:spacing w:before="2040"/>
        <w:rPr>
          <w:b/>
          <w:bCs/>
          <w:sz w:val="32"/>
          <w:szCs w:val="32"/>
        </w:rPr>
      </w:pPr>
    </w:p>
    <w:sectPr w:rsidR="00A64505" w:rsidRPr="00701404" w:rsidSect="00EB2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DA10" w14:textId="77777777" w:rsidR="00EA44E2" w:rsidRDefault="00EA44E2" w:rsidP="00696043">
      <w:r>
        <w:separator/>
      </w:r>
    </w:p>
  </w:endnote>
  <w:endnote w:type="continuationSeparator" w:id="0">
    <w:p w14:paraId="6AC01118" w14:textId="77777777" w:rsidR="00EA44E2" w:rsidRDefault="00EA44E2" w:rsidP="006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3E96" w14:textId="77777777" w:rsidR="00696043" w:rsidRDefault="006960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0741" w14:textId="77777777" w:rsidR="00696043" w:rsidRDefault="00696043">
    <w:pPr>
      <w:pStyle w:val="Zpat"/>
      <w:jc w:val="center"/>
    </w:pPr>
    <w:r w:rsidRPr="00696043">
      <w:rPr>
        <w:bCs/>
        <w:sz w:val="22"/>
        <w:szCs w:val="22"/>
      </w:rPr>
      <w:fldChar w:fldCharType="begin"/>
    </w:r>
    <w:r w:rsidRPr="00696043">
      <w:rPr>
        <w:bCs/>
        <w:sz w:val="22"/>
        <w:szCs w:val="22"/>
      </w:rPr>
      <w:instrText>PAGE</w:instrText>
    </w:r>
    <w:r w:rsidRPr="00696043">
      <w:rPr>
        <w:bCs/>
        <w:sz w:val="22"/>
        <w:szCs w:val="22"/>
      </w:rPr>
      <w:fldChar w:fldCharType="separate"/>
    </w:r>
    <w:r w:rsidR="0077610B">
      <w:rPr>
        <w:bCs/>
        <w:noProof/>
        <w:sz w:val="22"/>
        <w:szCs w:val="22"/>
      </w:rPr>
      <w:t>2</w:t>
    </w:r>
    <w:r w:rsidRPr="00696043">
      <w:rPr>
        <w:bCs/>
        <w:sz w:val="22"/>
        <w:szCs w:val="22"/>
      </w:rPr>
      <w:fldChar w:fldCharType="end"/>
    </w:r>
    <w:r w:rsidRPr="00696043">
      <w:rPr>
        <w:sz w:val="22"/>
        <w:szCs w:val="22"/>
      </w:rPr>
      <w:t xml:space="preserve"> z </w:t>
    </w:r>
    <w:r w:rsidRPr="00696043">
      <w:rPr>
        <w:bCs/>
        <w:sz w:val="22"/>
        <w:szCs w:val="22"/>
      </w:rPr>
      <w:fldChar w:fldCharType="begin"/>
    </w:r>
    <w:r w:rsidRPr="00696043">
      <w:rPr>
        <w:bCs/>
        <w:sz w:val="22"/>
        <w:szCs w:val="22"/>
      </w:rPr>
      <w:instrText>NUMPAGES</w:instrText>
    </w:r>
    <w:r w:rsidRPr="00696043">
      <w:rPr>
        <w:bCs/>
        <w:sz w:val="22"/>
        <w:szCs w:val="22"/>
      </w:rPr>
      <w:fldChar w:fldCharType="separate"/>
    </w:r>
    <w:r w:rsidR="0077610B">
      <w:rPr>
        <w:bCs/>
        <w:noProof/>
        <w:sz w:val="22"/>
        <w:szCs w:val="22"/>
      </w:rPr>
      <w:t>4</w:t>
    </w:r>
    <w:r w:rsidRPr="00696043">
      <w:rPr>
        <w:bCs/>
        <w:sz w:val="22"/>
        <w:szCs w:val="22"/>
      </w:rPr>
      <w:fldChar w:fldCharType="end"/>
    </w:r>
  </w:p>
  <w:p w14:paraId="7A015121" w14:textId="77777777" w:rsidR="00696043" w:rsidRDefault="006960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4495" w14:textId="77777777" w:rsidR="00696043" w:rsidRDefault="006960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7892" w14:textId="77777777" w:rsidR="00EA44E2" w:rsidRDefault="00EA44E2" w:rsidP="00696043">
      <w:r>
        <w:separator/>
      </w:r>
    </w:p>
  </w:footnote>
  <w:footnote w:type="continuationSeparator" w:id="0">
    <w:p w14:paraId="53E2AB68" w14:textId="77777777" w:rsidR="00EA44E2" w:rsidRDefault="00EA44E2" w:rsidP="0069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99F5" w14:textId="77777777" w:rsidR="00696043" w:rsidRDefault="006960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0EFB" w14:textId="77777777" w:rsidR="00696043" w:rsidRDefault="006960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AFA7" w14:textId="77777777" w:rsidR="00696043" w:rsidRDefault="00696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40E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B8912A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BE57C1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4C587E0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F1622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792FF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2B24A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8477E"/>
    <w:multiLevelType w:val="hybridMultilevel"/>
    <w:tmpl w:val="FFFFFFFF"/>
    <w:lvl w:ilvl="0" w:tplc="00A87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6104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928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7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97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754388">
    <w:abstractNumId w:val="2"/>
    <w:lvlOverride w:ilvl="0">
      <w:startOverride w:val="1"/>
    </w:lvlOverride>
  </w:num>
  <w:num w:numId="6" w16cid:durableId="1041636530">
    <w:abstractNumId w:val="3"/>
  </w:num>
  <w:num w:numId="7" w16cid:durableId="332071189">
    <w:abstractNumId w:val="7"/>
  </w:num>
  <w:num w:numId="8" w16cid:durableId="65668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2E"/>
    <w:rsid w:val="000609D9"/>
    <w:rsid w:val="000D4804"/>
    <w:rsid w:val="001017D8"/>
    <w:rsid w:val="001363F0"/>
    <w:rsid w:val="00160AA1"/>
    <w:rsid w:val="001C0E2E"/>
    <w:rsid w:val="001D0954"/>
    <w:rsid w:val="001D518F"/>
    <w:rsid w:val="001F4E19"/>
    <w:rsid w:val="00213393"/>
    <w:rsid w:val="002176EF"/>
    <w:rsid w:val="0022199D"/>
    <w:rsid w:val="00230E0F"/>
    <w:rsid w:val="00231D17"/>
    <w:rsid w:val="002359AB"/>
    <w:rsid w:val="002515AB"/>
    <w:rsid w:val="00273976"/>
    <w:rsid w:val="00295DDB"/>
    <w:rsid w:val="002A0AB7"/>
    <w:rsid w:val="002A5C17"/>
    <w:rsid w:val="002B5135"/>
    <w:rsid w:val="002C5B66"/>
    <w:rsid w:val="002D2511"/>
    <w:rsid w:val="002D5052"/>
    <w:rsid w:val="003016EE"/>
    <w:rsid w:val="00373A00"/>
    <w:rsid w:val="00390499"/>
    <w:rsid w:val="003A7213"/>
    <w:rsid w:val="003A7FA2"/>
    <w:rsid w:val="003F687A"/>
    <w:rsid w:val="004069CD"/>
    <w:rsid w:val="00410E8B"/>
    <w:rsid w:val="004A6E2C"/>
    <w:rsid w:val="004C4990"/>
    <w:rsid w:val="004D19B4"/>
    <w:rsid w:val="004D509D"/>
    <w:rsid w:val="005043E6"/>
    <w:rsid w:val="0052557C"/>
    <w:rsid w:val="005356A1"/>
    <w:rsid w:val="00547CD5"/>
    <w:rsid w:val="00596F6A"/>
    <w:rsid w:val="006321B1"/>
    <w:rsid w:val="00633D68"/>
    <w:rsid w:val="00635F03"/>
    <w:rsid w:val="00660EE2"/>
    <w:rsid w:val="006721AB"/>
    <w:rsid w:val="00677BDD"/>
    <w:rsid w:val="00685F8A"/>
    <w:rsid w:val="00694BDB"/>
    <w:rsid w:val="00696043"/>
    <w:rsid w:val="006F2BE2"/>
    <w:rsid w:val="00701404"/>
    <w:rsid w:val="00724B1F"/>
    <w:rsid w:val="0074267F"/>
    <w:rsid w:val="0074477C"/>
    <w:rsid w:val="007521F7"/>
    <w:rsid w:val="00763392"/>
    <w:rsid w:val="0077610B"/>
    <w:rsid w:val="00776330"/>
    <w:rsid w:val="00791850"/>
    <w:rsid w:val="007D1038"/>
    <w:rsid w:val="00805E95"/>
    <w:rsid w:val="00810CE1"/>
    <w:rsid w:val="00834E77"/>
    <w:rsid w:val="008833ED"/>
    <w:rsid w:val="00884C62"/>
    <w:rsid w:val="008A24C1"/>
    <w:rsid w:val="008A5945"/>
    <w:rsid w:val="008A5B74"/>
    <w:rsid w:val="008C7237"/>
    <w:rsid w:val="008F3AC0"/>
    <w:rsid w:val="0095121A"/>
    <w:rsid w:val="00965812"/>
    <w:rsid w:val="009742C0"/>
    <w:rsid w:val="00977440"/>
    <w:rsid w:val="00982ECD"/>
    <w:rsid w:val="009A0513"/>
    <w:rsid w:val="00A12FD2"/>
    <w:rsid w:val="00A46390"/>
    <w:rsid w:val="00A64505"/>
    <w:rsid w:val="00AD5519"/>
    <w:rsid w:val="00AE28B7"/>
    <w:rsid w:val="00B01637"/>
    <w:rsid w:val="00B16BB2"/>
    <w:rsid w:val="00B30379"/>
    <w:rsid w:val="00B4123D"/>
    <w:rsid w:val="00B656E5"/>
    <w:rsid w:val="00B7596B"/>
    <w:rsid w:val="00BB1B4C"/>
    <w:rsid w:val="00BD4BCF"/>
    <w:rsid w:val="00BE0FEB"/>
    <w:rsid w:val="00BE4D83"/>
    <w:rsid w:val="00BF5946"/>
    <w:rsid w:val="00C1618C"/>
    <w:rsid w:val="00C264D6"/>
    <w:rsid w:val="00C51FCC"/>
    <w:rsid w:val="00C576C6"/>
    <w:rsid w:val="00D47F55"/>
    <w:rsid w:val="00D547FD"/>
    <w:rsid w:val="00D67A13"/>
    <w:rsid w:val="00D85233"/>
    <w:rsid w:val="00DA6911"/>
    <w:rsid w:val="00E629AB"/>
    <w:rsid w:val="00E80BAC"/>
    <w:rsid w:val="00EA44E2"/>
    <w:rsid w:val="00EA77E3"/>
    <w:rsid w:val="00EB2FA0"/>
    <w:rsid w:val="00EC2662"/>
    <w:rsid w:val="00EE69FE"/>
    <w:rsid w:val="00F17237"/>
    <w:rsid w:val="00F25FFD"/>
    <w:rsid w:val="00F51C61"/>
    <w:rsid w:val="00F77D3C"/>
    <w:rsid w:val="00F971E6"/>
    <w:rsid w:val="00FD4DBF"/>
    <w:rsid w:val="00FD6013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EA592"/>
  <w14:defaultImageDpi w14:val="0"/>
  <w15:docId w15:val="{BAF463AB-DC31-47F0-91E1-F348A16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E2E"/>
    <w:rPr>
      <w:rFonts w:ascii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E2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E2E"/>
    <w:pPr>
      <w:keepNext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E2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A2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C0E2E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C0E2E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C0E2E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A24C1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8A24C1"/>
    <w:pPr>
      <w:jc w:val="both"/>
    </w:pPr>
    <w:rPr>
      <w:rFonts w:ascii="Arial" w:hAnsi="Arial" w:cs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24C1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24C1"/>
    <w:rPr>
      <w:rFonts w:ascii="Tahoma" w:hAnsi="Tahoma" w:cs="Tahoma"/>
      <w:sz w:val="16"/>
      <w:szCs w:val="16"/>
    </w:rPr>
  </w:style>
  <w:style w:type="character" w:customStyle="1" w:styleId="OdstavecChar">
    <w:name w:val="Odstavec Char"/>
    <w:link w:val="Odstavec"/>
    <w:locked/>
    <w:rsid w:val="00213393"/>
    <w:rPr>
      <w:rFonts w:ascii="Verdana" w:hAnsi="Verdana"/>
      <w:color w:val="000000"/>
      <w:shd w:val="clear" w:color="auto" w:fill="FFFFFF"/>
    </w:rPr>
  </w:style>
  <w:style w:type="paragraph" w:customStyle="1" w:styleId="Odstavec">
    <w:name w:val="Odstavec"/>
    <w:basedOn w:val="Normln"/>
    <w:link w:val="OdstavecChar"/>
    <w:qFormat/>
    <w:rsid w:val="00213393"/>
    <w:pPr>
      <w:shd w:val="clear" w:color="auto" w:fill="FFFFFF"/>
      <w:spacing w:after="120"/>
    </w:pPr>
    <w:rPr>
      <w:rFonts w:ascii="Verdana" w:hAnsi="Verdana" w:cs="Arial"/>
      <w:color w:val="000000"/>
    </w:rPr>
  </w:style>
  <w:style w:type="table" w:styleId="Mkatabulky">
    <w:name w:val="Table Grid"/>
    <w:basedOn w:val="Normlntabulka"/>
    <w:uiPriority w:val="59"/>
    <w:rsid w:val="00213393"/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6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604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96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96043"/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810CE1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sid w:val="0097744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sh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5678</Characters>
  <Application>Microsoft Office Word</Application>
  <DocSecurity>4</DocSecurity>
  <Lines>47</Lines>
  <Paragraphs>13</Paragraphs>
  <ScaleCrop>false</ScaleCrop>
  <Company>ATC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fikaraaa</dc:creator>
  <cp:keywords/>
  <dc:description/>
  <cp:lastModifiedBy>LACINA Václav</cp:lastModifiedBy>
  <cp:revision>2</cp:revision>
  <cp:lastPrinted>2025-08-25T11:33:00Z</cp:lastPrinted>
  <dcterms:created xsi:type="dcterms:W3CDTF">2025-09-05T07:28:00Z</dcterms:created>
  <dcterms:modified xsi:type="dcterms:W3CDTF">2025-09-05T07:28:00Z</dcterms:modified>
</cp:coreProperties>
</file>